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285B86">
      <w:pPr>
        <w:pStyle w:val="Title"/>
      </w:pPr>
      <w:r w:rsidRPr="004F2656">
        <w:t xml:space="preserve">Affordable Learning Georgia Textbook Transformation Grants </w:t>
      </w:r>
    </w:p>
    <w:p w14:paraId="6A2EAF46" w14:textId="6B4E567C" w:rsidR="00346044" w:rsidRPr="004F2656" w:rsidRDefault="00346044" w:rsidP="00285B86">
      <w:pPr>
        <w:pStyle w:val="Subtitle"/>
      </w:pPr>
      <w:r w:rsidRPr="004F2656">
        <w:t xml:space="preserve">Final </w:t>
      </w:r>
      <w:r w:rsidRPr="00285B86">
        <w:t>Report</w:t>
      </w:r>
      <w:r w:rsidR="007E159F">
        <w:t>: Open Historical Game</w:t>
      </w:r>
    </w:p>
    <w:p w14:paraId="1D496630" w14:textId="208777A9" w:rsidR="0033401E" w:rsidRPr="00871BC4" w:rsidRDefault="0033401E" w:rsidP="0073273B">
      <w:pPr>
        <w:rPr>
          <w:iCs/>
        </w:rPr>
      </w:pPr>
      <w:r w:rsidRPr="00871BC4">
        <w:rPr>
          <w:iCs/>
        </w:rPr>
        <w:t xml:space="preserve">To submit your Final Report, go to the </w:t>
      </w:r>
      <w:hyperlink r:id="rId8" w:history="1">
        <w:r w:rsidRPr="003F4D85">
          <w:rPr>
            <w:rStyle w:val="Hyperlink"/>
            <w:iCs/>
          </w:rPr>
          <w:t>Final Report submission page</w:t>
        </w:r>
      </w:hyperlink>
      <w:r w:rsidRPr="00871BC4">
        <w:rPr>
          <w:iCs/>
        </w:rPr>
        <w:t xml:space="preserve"> on the ALG website</w:t>
      </w:r>
      <w:r w:rsidR="00630263" w:rsidRPr="00871BC4">
        <w:rPr>
          <w:iCs/>
        </w:rPr>
        <w:t>:</w:t>
      </w:r>
      <w:r w:rsidRPr="00871BC4">
        <w:rPr>
          <w:iCs/>
        </w:rPr>
        <w:t xml:space="preserve"> </w:t>
      </w:r>
      <w:r w:rsidR="00AF4890" w:rsidRPr="003F4D85">
        <w:rPr>
          <w:iCs/>
        </w:rPr>
        <w:t>http://affordablelearninggeorgia.org/site/final_report_submission</w:t>
      </w:r>
    </w:p>
    <w:p w14:paraId="67CBE099" w14:textId="47251BA6" w:rsidR="0033401E" w:rsidRPr="00871BC4" w:rsidRDefault="00D11976" w:rsidP="0033401E">
      <w:pPr>
        <w:rPr>
          <w:iCs/>
        </w:rPr>
      </w:pPr>
      <w:r w:rsidRPr="00871BC4">
        <w:rPr>
          <w:iCs/>
        </w:rPr>
        <w:t>The final report submission form allows up to five f</w:t>
      </w:r>
      <w:r w:rsidR="0033401E" w:rsidRPr="00871BC4">
        <w:rPr>
          <w:iCs/>
        </w:rPr>
        <w:t xml:space="preserve">iles: </w:t>
      </w:r>
    </w:p>
    <w:p w14:paraId="324FBD38" w14:textId="0E6C1328" w:rsidR="0033401E" w:rsidRPr="00871BC4" w:rsidRDefault="0033401E" w:rsidP="0033401E">
      <w:pPr>
        <w:pStyle w:val="ListParagraph"/>
        <w:numPr>
          <w:ilvl w:val="0"/>
          <w:numId w:val="17"/>
        </w:numPr>
        <w:rPr>
          <w:iCs/>
        </w:rPr>
      </w:pPr>
      <w:r w:rsidRPr="00871BC4">
        <w:rPr>
          <w:iCs/>
        </w:rPr>
        <w:t>This completed narrative document</w:t>
      </w:r>
      <w:r w:rsidR="00D11976" w:rsidRPr="00871BC4">
        <w:rPr>
          <w:iCs/>
        </w:rPr>
        <w:t xml:space="preserve"> </w:t>
      </w:r>
      <w:r w:rsidRPr="00871BC4">
        <w:rPr>
          <w:iCs/>
        </w:rPr>
        <w:t xml:space="preserve"> </w:t>
      </w:r>
    </w:p>
    <w:p w14:paraId="69BBA9F0" w14:textId="5B9802BB" w:rsidR="00630263" w:rsidRPr="00871BC4" w:rsidRDefault="0033401E" w:rsidP="0033401E">
      <w:pPr>
        <w:pStyle w:val="ListParagraph"/>
        <w:numPr>
          <w:ilvl w:val="0"/>
          <w:numId w:val="17"/>
        </w:numPr>
        <w:rPr>
          <w:iCs/>
        </w:rPr>
      </w:pPr>
      <w:r w:rsidRPr="00871BC4">
        <w:rPr>
          <w:iCs/>
        </w:rPr>
        <w:t xml:space="preserve">Syllabus or syllabi </w:t>
      </w:r>
    </w:p>
    <w:p w14:paraId="67840C72" w14:textId="15AFAE9E" w:rsidR="0033401E" w:rsidRPr="003F4D85" w:rsidRDefault="001F4532" w:rsidP="00285B86">
      <w:pPr>
        <w:pStyle w:val="ListParagraph"/>
        <w:ind w:left="1080"/>
        <w:rPr>
          <w:i/>
        </w:rPr>
      </w:pPr>
      <w:r w:rsidRPr="003F4D85">
        <w:rPr>
          <w:i/>
        </w:rPr>
        <w:t>I</w:t>
      </w:r>
      <w:r w:rsidR="0033401E" w:rsidRPr="003F4D85">
        <w:rPr>
          <w:i/>
        </w:rPr>
        <w:t xml:space="preserve">f multiple files, compress into one .zip folder </w:t>
      </w:r>
    </w:p>
    <w:p w14:paraId="22ECA3EE" w14:textId="522CC5D5" w:rsidR="00630263" w:rsidRPr="00871BC4" w:rsidRDefault="00630263" w:rsidP="0033401E">
      <w:pPr>
        <w:pStyle w:val="ListParagraph"/>
        <w:numPr>
          <w:ilvl w:val="0"/>
          <w:numId w:val="17"/>
        </w:numPr>
        <w:rPr>
          <w:iCs/>
        </w:rPr>
      </w:pPr>
      <w:r w:rsidRPr="00871BC4">
        <w:rPr>
          <w:iCs/>
        </w:rPr>
        <w:t>Qualitative/Quantitative Measures d</w:t>
      </w:r>
      <w:r w:rsidR="0033401E" w:rsidRPr="00871BC4">
        <w:rPr>
          <w:iCs/>
        </w:rPr>
        <w:t>ata files</w:t>
      </w:r>
      <w:r w:rsidR="00D11976" w:rsidRPr="00871BC4">
        <w:rPr>
          <w:iCs/>
        </w:rPr>
        <w:t xml:space="preserve"> </w:t>
      </w:r>
      <w:r w:rsidR="0033401E" w:rsidRPr="00871BC4">
        <w:rPr>
          <w:iCs/>
        </w:rPr>
        <w:t xml:space="preserve"> </w:t>
      </w:r>
    </w:p>
    <w:p w14:paraId="6300CD79" w14:textId="4E3EFF08" w:rsidR="001F4532" w:rsidRPr="003F4D85" w:rsidRDefault="001F4532" w:rsidP="00285B86">
      <w:pPr>
        <w:pStyle w:val="ListParagraph"/>
        <w:ind w:left="1080"/>
        <w:rPr>
          <w:i/>
        </w:rPr>
      </w:pPr>
      <w:r w:rsidRPr="003F4D85">
        <w:rPr>
          <w:i/>
        </w:rPr>
        <w:t>I</w:t>
      </w:r>
      <w:r w:rsidR="0033401E" w:rsidRPr="003F4D85">
        <w:rPr>
          <w:i/>
        </w:rPr>
        <w:t>f multiple files, compress into one .zip folder</w:t>
      </w:r>
    </w:p>
    <w:p w14:paraId="6ADE06B3" w14:textId="6AE6E8F4" w:rsidR="00D11976" w:rsidRPr="00871BC4" w:rsidRDefault="00D11976" w:rsidP="0097575D">
      <w:pPr>
        <w:pStyle w:val="ListParagraph"/>
        <w:numPr>
          <w:ilvl w:val="0"/>
          <w:numId w:val="17"/>
        </w:numPr>
        <w:rPr>
          <w:iCs/>
        </w:rPr>
      </w:pPr>
      <w:r w:rsidRPr="00871BC4">
        <w:rPr>
          <w:iCs/>
        </w:rPr>
        <w:t>Invoice for the second half of the grant’s award amount</w:t>
      </w:r>
      <w:r w:rsidR="005D739F">
        <w:rPr>
          <w:iCs/>
        </w:rPr>
        <w:t xml:space="preserve"> (or institution sends after)</w:t>
      </w:r>
    </w:p>
    <w:p w14:paraId="0CE62F26" w14:textId="6574C748" w:rsidR="00687254" w:rsidRPr="00871BC4" w:rsidRDefault="00687254" w:rsidP="0073273B">
      <w:pPr>
        <w:rPr>
          <w:iCs/>
        </w:rPr>
      </w:pPr>
      <w:r w:rsidRPr="00871BC4">
        <w:rPr>
          <w:iCs/>
        </w:rPr>
        <w:t>Follow the instructions on the webpage</w:t>
      </w:r>
      <w:r w:rsidR="0033401E" w:rsidRPr="00871BC4">
        <w:rPr>
          <w:iCs/>
        </w:rPr>
        <w:t xml:space="preserve"> for uploading your documents. B</w:t>
      </w:r>
      <w:r w:rsidRPr="00871BC4">
        <w:rPr>
          <w:iCs/>
        </w:rPr>
        <w:t>ased on receipt of this report</w:t>
      </w:r>
      <w:r w:rsidR="00BF3C8A" w:rsidRPr="00871BC4">
        <w:rPr>
          <w:iCs/>
        </w:rPr>
        <w:t>,</w:t>
      </w:r>
      <w:r w:rsidRPr="00871BC4">
        <w:rPr>
          <w:iCs/>
        </w:rPr>
        <w:t xml:space="preserve"> ALG </w:t>
      </w:r>
      <w:r w:rsidR="00DF79E1" w:rsidRPr="00871BC4">
        <w:rPr>
          <w:iCs/>
        </w:rPr>
        <w:t>will process</w:t>
      </w:r>
      <w:r w:rsidRPr="00871BC4">
        <w:rPr>
          <w:iCs/>
        </w:rPr>
        <w:t xml:space="preserve"> the final payment for your grant.  ALG </w:t>
      </w:r>
      <w:r w:rsidR="0033401E" w:rsidRPr="00871BC4">
        <w:rPr>
          <w:iCs/>
        </w:rPr>
        <w:t xml:space="preserve">will </w:t>
      </w:r>
      <w:r w:rsidRPr="00871BC4">
        <w:rPr>
          <w:iCs/>
        </w:rPr>
        <w:t>follow up</w:t>
      </w:r>
      <w:r w:rsidR="00630263" w:rsidRPr="00871BC4">
        <w:rPr>
          <w:iCs/>
        </w:rPr>
        <w:t xml:space="preserve"> in the future with p</w:t>
      </w:r>
      <w:r w:rsidR="0033401E" w:rsidRPr="00871BC4">
        <w:rPr>
          <w:iCs/>
        </w:rPr>
        <w:t>ost-project grantee survey</w:t>
      </w:r>
      <w:r w:rsidR="00630263" w:rsidRPr="00871BC4">
        <w:rPr>
          <w:iCs/>
        </w:rPr>
        <w:t>s</w:t>
      </w:r>
      <w:r w:rsidR="0033401E" w:rsidRPr="00871BC4">
        <w:rPr>
          <w:iCs/>
        </w:rPr>
        <w:t xml:space="preserve"> and may also </w:t>
      </w:r>
      <w:r w:rsidRPr="00871BC4">
        <w:rPr>
          <w:iCs/>
        </w:rPr>
        <w:t xml:space="preserve">request your participation </w:t>
      </w:r>
      <w:r w:rsidR="00DF79E1" w:rsidRPr="00871BC4">
        <w:rPr>
          <w:iCs/>
        </w:rPr>
        <w:t>in a publication, presentation,</w:t>
      </w:r>
      <w:r w:rsidRPr="00871BC4">
        <w:rPr>
          <w:iCs/>
        </w:rPr>
        <w:t xml:space="preserve"> or other event</w:t>
      </w:r>
      <w:r w:rsidR="00070279">
        <w:rPr>
          <w:iCs/>
        </w:rPr>
        <w:t>s</w:t>
      </w:r>
      <w:r w:rsidRPr="00871BC4">
        <w:rPr>
          <w:iCs/>
        </w:rPr>
        <w:t xml:space="preserve">. </w:t>
      </w:r>
    </w:p>
    <w:p w14:paraId="6BF02510" w14:textId="52CA1B6A" w:rsidR="0033401E" w:rsidRDefault="0033401E" w:rsidP="0033401E">
      <w:pPr>
        <w:pStyle w:val="Heading1"/>
      </w:pPr>
      <w:r>
        <w:t>General Information</w:t>
      </w:r>
    </w:p>
    <w:p w14:paraId="6A5B7154" w14:textId="5D5D7171" w:rsidR="00687254" w:rsidRPr="00B55BAB" w:rsidRDefault="00687254" w:rsidP="00687254">
      <w:pPr>
        <w:ind w:left="360"/>
        <w:rPr>
          <w:b/>
          <w:color w:val="7030A0"/>
        </w:rPr>
      </w:pPr>
      <w:r w:rsidRPr="004F2656">
        <w:rPr>
          <w:b/>
        </w:rPr>
        <w:t>Date</w:t>
      </w:r>
      <w:r w:rsidR="003E1BCB" w:rsidRPr="004F2656">
        <w:rPr>
          <w:b/>
        </w:rPr>
        <w:t>:</w:t>
      </w:r>
      <w:r w:rsidR="00B55BAB">
        <w:rPr>
          <w:b/>
        </w:rPr>
        <w:t xml:space="preserve"> </w:t>
      </w:r>
      <w:r w:rsidR="00B55BAB" w:rsidRPr="00B55BAB">
        <w:rPr>
          <w:b/>
          <w:color w:val="7030A0"/>
        </w:rPr>
        <w:t>2018-12-11</w:t>
      </w:r>
    </w:p>
    <w:p w14:paraId="1CB2C16B" w14:textId="41CEC62F" w:rsidR="0033401E" w:rsidRPr="004F2656" w:rsidRDefault="0033401E" w:rsidP="00687254">
      <w:pPr>
        <w:ind w:left="360"/>
        <w:rPr>
          <w:b/>
        </w:rPr>
      </w:pPr>
      <w:r>
        <w:rPr>
          <w:b/>
        </w:rPr>
        <w:t>Grant Round:</w:t>
      </w:r>
      <w:r w:rsidR="00B55BAB">
        <w:rPr>
          <w:b/>
        </w:rPr>
        <w:t xml:space="preserve"> </w:t>
      </w:r>
      <w:r w:rsidR="00B55BAB" w:rsidRPr="00B55BAB">
        <w:rPr>
          <w:b/>
          <w:color w:val="7030A0"/>
        </w:rPr>
        <w:t>Pilot</w:t>
      </w:r>
    </w:p>
    <w:p w14:paraId="41045492" w14:textId="11340028" w:rsidR="00240544" w:rsidRPr="004F2656" w:rsidRDefault="003E1BCB" w:rsidP="00687254">
      <w:pPr>
        <w:ind w:left="360"/>
        <w:rPr>
          <w:b/>
        </w:rPr>
      </w:pPr>
      <w:r w:rsidRPr="004F2656">
        <w:rPr>
          <w:b/>
        </w:rPr>
        <w:t>Grant</w:t>
      </w:r>
      <w:r w:rsidR="00687254" w:rsidRPr="004F2656">
        <w:rPr>
          <w:b/>
        </w:rPr>
        <w:t xml:space="preserve"> Number</w:t>
      </w:r>
      <w:r w:rsidRPr="004F2656">
        <w:rPr>
          <w:b/>
        </w:rPr>
        <w:t>:</w:t>
      </w:r>
      <w:r w:rsidR="00B55BAB">
        <w:rPr>
          <w:b/>
        </w:rPr>
        <w:t xml:space="preserve"> </w:t>
      </w:r>
      <w:r w:rsidR="00B55BAB" w:rsidRPr="00B55BAB">
        <w:rPr>
          <w:b/>
          <w:color w:val="7030A0"/>
        </w:rPr>
        <w:t>Proposal 402.f</w:t>
      </w:r>
    </w:p>
    <w:p w14:paraId="65C4B013" w14:textId="0D3B2743" w:rsidR="00687254" w:rsidRDefault="00687254" w:rsidP="00687254">
      <w:pPr>
        <w:ind w:left="360"/>
        <w:rPr>
          <w:b/>
        </w:rPr>
      </w:pPr>
      <w:r w:rsidRPr="004F2656">
        <w:rPr>
          <w:b/>
        </w:rPr>
        <w:t>Institution Name(s</w:t>
      </w:r>
      <w:r w:rsidR="003E1BCB" w:rsidRPr="004F2656">
        <w:rPr>
          <w:b/>
        </w:rPr>
        <w:t>):</w:t>
      </w:r>
      <w:r w:rsidR="00B55BAB">
        <w:rPr>
          <w:b/>
        </w:rPr>
        <w:t xml:space="preserve"> </w:t>
      </w:r>
      <w:r w:rsidR="00B55BAB" w:rsidRPr="00B55BAB">
        <w:rPr>
          <w:b/>
          <w:color w:val="7030A0"/>
        </w:rPr>
        <w:t>Georgia College &amp; State University</w:t>
      </w:r>
    </w:p>
    <w:p w14:paraId="28FD8E6E" w14:textId="65D1546D" w:rsidR="0033401E" w:rsidRPr="00B55BAB" w:rsidRDefault="0033401E" w:rsidP="0033401E">
      <w:pPr>
        <w:ind w:left="360"/>
        <w:rPr>
          <w:b/>
          <w:color w:val="7030A0"/>
        </w:rPr>
      </w:pPr>
      <w:r w:rsidRPr="004F2656">
        <w:rPr>
          <w:b/>
        </w:rPr>
        <w:t>Project Lead:</w:t>
      </w:r>
      <w:r w:rsidR="00B55BAB">
        <w:rPr>
          <w:b/>
        </w:rPr>
        <w:t xml:space="preserve"> </w:t>
      </w:r>
      <w:r w:rsidR="00B55BAB" w:rsidRPr="00B55BAB">
        <w:rPr>
          <w:b/>
          <w:color w:val="7030A0"/>
        </w:rPr>
        <w:t>Dr. Peggy Elliott</w:t>
      </w:r>
    </w:p>
    <w:p w14:paraId="6A7C5B5B" w14:textId="7CBD2453" w:rsidR="00687254" w:rsidRDefault="00687254" w:rsidP="00687254">
      <w:pPr>
        <w:ind w:left="360"/>
        <w:rPr>
          <w:b/>
        </w:rPr>
      </w:pPr>
      <w:r w:rsidRPr="004F2656">
        <w:rPr>
          <w:b/>
        </w:rPr>
        <w:t>Team Members (Name, Title, Department, Institutions if different, and email address for each)</w:t>
      </w:r>
      <w:r w:rsidR="003E1BCB" w:rsidRPr="004F2656">
        <w:rPr>
          <w:b/>
        </w:rPr>
        <w:t>:</w:t>
      </w:r>
    </w:p>
    <w:p w14:paraId="7F278134" w14:textId="5979148C" w:rsidR="008E38B4" w:rsidRPr="008E38B4" w:rsidRDefault="008E38B4" w:rsidP="008E38B4">
      <w:pPr>
        <w:pStyle w:val="ListParagraph"/>
        <w:numPr>
          <w:ilvl w:val="0"/>
          <w:numId w:val="17"/>
        </w:numPr>
        <w:rPr>
          <w:b/>
          <w:color w:val="7030A0"/>
          <w:sz w:val="22"/>
          <w:szCs w:val="22"/>
        </w:rPr>
      </w:pPr>
      <w:r w:rsidRPr="008E38B4">
        <w:rPr>
          <w:b/>
          <w:color w:val="7030A0"/>
          <w:sz w:val="22"/>
          <w:szCs w:val="22"/>
        </w:rPr>
        <w:t xml:space="preserve">Dr. Elissa Auerbach, Professor of Art History, Art, </w:t>
      </w:r>
      <w:hyperlink r:id="rId9" w:history="1">
        <w:r w:rsidRPr="008E38B4">
          <w:rPr>
            <w:rStyle w:val="Hyperlink"/>
            <w:b/>
            <w:color w:val="7030A0"/>
            <w:sz w:val="22"/>
            <w:szCs w:val="22"/>
          </w:rPr>
          <w:t>elissa.auerbach@gcsu.edu</w:t>
        </w:r>
      </w:hyperlink>
    </w:p>
    <w:p w14:paraId="363ABD16" w14:textId="15162F2E" w:rsidR="008E38B4" w:rsidRPr="008E38B4" w:rsidRDefault="008E38B4" w:rsidP="008E38B4">
      <w:pPr>
        <w:pStyle w:val="ListParagraph"/>
        <w:numPr>
          <w:ilvl w:val="0"/>
          <w:numId w:val="17"/>
        </w:numPr>
        <w:rPr>
          <w:b/>
          <w:color w:val="7030A0"/>
          <w:sz w:val="22"/>
          <w:szCs w:val="22"/>
        </w:rPr>
      </w:pPr>
      <w:r w:rsidRPr="008E38B4">
        <w:rPr>
          <w:b/>
          <w:color w:val="7030A0"/>
          <w:sz w:val="22"/>
          <w:szCs w:val="22"/>
        </w:rPr>
        <w:t xml:space="preserve">Dr. Peggy Elliott, Chair and Professor of French, World Languages and Cultures, </w:t>
      </w:r>
      <w:hyperlink r:id="rId10" w:history="1">
        <w:r w:rsidRPr="008E38B4">
          <w:rPr>
            <w:rStyle w:val="Hyperlink"/>
            <w:b/>
            <w:color w:val="7030A0"/>
            <w:sz w:val="22"/>
            <w:szCs w:val="22"/>
          </w:rPr>
          <w:t>peggy.elliott@gcsu.edu</w:t>
        </w:r>
      </w:hyperlink>
      <w:r w:rsidRPr="008E38B4">
        <w:rPr>
          <w:b/>
          <w:color w:val="7030A0"/>
          <w:sz w:val="22"/>
          <w:szCs w:val="22"/>
        </w:rPr>
        <w:t xml:space="preserve"> </w:t>
      </w:r>
    </w:p>
    <w:p w14:paraId="0F1CB5E8" w14:textId="5B857B10" w:rsidR="008E38B4" w:rsidRDefault="008E38B4" w:rsidP="008E38B4">
      <w:pPr>
        <w:pStyle w:val="ListParagraph"/>
        <w:numPr>
          <w:ilvl w:val="0"/>
          <w:numId w:val="17"/>
        </w:numPr>
        <w:rPr>
          <w:b/>
          <w:color w:val="7030A0"/>
          <w:sz w:val="22"/>
          <w:szCs w:val="22"/>
        </w:rPr>
      </w:pPr>
      <w:r w:rsidRPr="008E38B4">
        <w:rPr>
          <w:b/>
          <w:color w:val="7030A0"/>
          <w:sz w:val="22"/>
          <w:szCs w:val="22"/>
        </w:rPr>
        <w:t xml:space="preserve">Dr. </w:t>
      </w:r>
      <w:proofErr w:type="spellStart"/>
      <w:r w:rsidRPr="008E38B4">
        <w:rPr>
          <w:b/>
          <w:color w:val="7030A0"/>
          <w:sz w:val="22"/>
          <w:szCs w:val="22"/>
        </w:rPr>
        <w:t>Aran</w:t>
      </w:r>
      <w:proofErr w:type="spellEnd"/>
      <w:r w:rsidRPr="008E38B4">
        <w:rPr>
          <w:b/>
          <w:color w:val="7030A0"/>
          <w:sz w:val="22"/>
          <w:szCs w:val="22"/>
        </w:rPr>
        <w:t xml:space="preserve"> McKinnon, Chair and Professor of History, History</w:t>
      </w:r>
      <w:r w:rsidR="00986704">
        <w:rPr>
          <w:b/>
          <w:color w:val="7030A0"/>
          <w:sz w:val="22"/>
          <w:szCs w:val="22"/>
        </w:rPr>
        <w:t xml:space="preserve"> and Geography</w:t>
      </w:r>
      <w:r w:rsidRPr="008E38B4">
        <w:rPr>
          <w:b/>
          <w:color w:val="7030A0"/>
          <w:sz w:val="22"/>
          <w:szCs w:val="22"/>
        </w:rPr>
        <w:t xml:space="preserve">, </w:t>
      </w:r>
      <w:hyperlink r:id="rId11" w:history="1">
        <w:r w:rsidRPr="008E38B4">
          <w:rPr>
            <w:rStyle w:val="Hyperlink"/>
            <w:b/>
            <w:color w:val="7030A0"/>
            <w:sz w:val="22"/>
            <w:szCs w:val="22"/>
          </w:rPr>
          <w:t>aran.mckinnon@gcsu.edu</w:t>
        </w:r>
      </w:hyperlink>
      <w:r w:rsidRPr="008E38B4">
        <w:rPr>
          <w:b/>
          <w:color w:val="7030A0"/>
          <w:sz w:val="22"/>
          <w:szCs w:val="22"/>
        </w:rPr>
        <w:t xml:space="preserve"> </w:t>
      </w:r>
    </w:p>
    <w:p w14:paraId="37591957" w14:textId="01ED9294" w:rsidR="00C56355" w:rsidRPr="00C56355" w:rsidRDefault="00C56355" w:rsidP="008E38B4">
      <w:pPr>
        <w:pStyle w:val="ListParagraph"/>
        <w:numPr>
          <w:ilvl w:val="0"/>
          <w:numId w:val="17"/>
        </w:numPr>
        <w:rPr>
          <w:b/>
          <w:color w:val="7030A0"/>
          <w:sz w:val="22"/>
          <w:szCs w:val="22"/>
        </w:rPr>
      </w:pPr>
      <w:r>
        <w:rPr>
          <w:b/>
          <w:color w:val="7030A0"/>
          <w:sz w:val="22"/>
          <w:szCs w:val="22"/>
        </w:rPr>
        <w:t>Dr. Brantley Nicholson, Ass</w:t>
      </w:r>
      <w:r w:rsidR="00986704">
        <w:rPr>
          <w:b/>
          <w:color w:val="7030A0"/>
          <w:sz w:val="22"/>
          <w:szCs w:val="22"/>
        </w:rPr>
        <w:t>oc</w:t>
      </w:r>
      <w:r>
        <w:rPr>
          <w:b/>
          <w:color w:val="7030A0"/>
          <w:sz w:val="22"/>
          <w:szCs w:val="22"/>
        </w:rPr>
        <w:t xml:space="preserve"> Professor of Spanish, World Languages and Cultures, </w:t>
      </w:r>
      <w:hyperlink r:id="rId12" w:history="1">
        <w:r w:rsidRPr="00C56355">
          <w:rPr>
            <w:rStyle w:val="Hyperlink"/>
            <w:b/>
            <w:color w:val="7030A0"/>
            <w:sz w:val="22"/>
            <w:szCs w:val="22"/>
          </w:rPr>
          <w:t>Brantley.nicholson@gcsu.edu</w:t>
        </w:r>
      </w:hyperlink>
      <w:r w:rsidRPr="00C56355">
        <w:rPr>
          <w:b/>
          <w:color w:val="7030A0"/>
          <w:sz w:val="22"/>
          <w:szCs w:val="22"/>
        </w:rPr>
        <w:t xml:space="preserve"> </w:t>
      </w:r>
    </w:p>
    <w:p w14:paraId="3863794F" w14:textId="0673AD9C" w:rsidR="008E38B4" w:rsidRDefault="008E38B4" w:rsidP="008E38B4">
      <w:pPr>
        <w:pStyle w:val="ListParagraph"/>
        <w:numPr>
          <w:ilvl w:val="0"/>
          <w:numId w:val="17"/>
        </w:numPr>
        <w:rPr>
          <w:b/>
          <w:color w:val="7030A0"/>
          <w:sz w:val="22"/>
          <w:szCs w:val="22"/>
        </w:rPr>
      </w:pPr>
      <w:r w:rsidRPr="008E38B4">
        <w:rPr>
          <w:b/>
          <w:color w:val="7030A0"/>
          <w:sz w:val="22"/>
          <w:szCs w:val="22"/>
        </w:rPr>
        <w:t xml:space="preserve">Dr. William </w:t>
      </w:r>
      <w:proofErr w:type="spellStart"/>
      <w:r w:rsidRPr="008E38B4">
        <w:rPr>
          <w:b/>
          <w:color w:val="7030A0"/>
          <w:sz w:val="22"/>
          <w:szCs w:val="22"/>
        </w:rPr>
        <w:t>Risch</w:t>
      </w:r>
      <w:proofErr w:type="spellEnd"/>
      <w:r w:rsidRPr="008E38B4">
        <w:rPr>
          <w:b/>
          <w:color w:val="7030A0"/>
          <w:sz w:val="22"/>
          <w:szCs w:val="22"/>
        </w:rPr>
        <w:t xml:space="preserve">, </w:t>
      </w:r>
      <w:r w:rsidR="00986704">
        <w:rPr>
          <w:b/>
          <w:color w:val="7030A0"/>
          <w:sz w:val="22"/>
          <w:szCs w:val="22"/>
        </w:rPr>
        <w:t xml:space="preserve">Assoc </w:t>
      </w:r>
      <w:r w:rsidRPr="008E38B4">
        <w:rPr>
          <w:b/>
          <w:color w:val="7030A0"/>
          <w:sz w:val="22"/>
          <w:szCs w:val="22"/>
        </w:rPr>
        <w:t>Professor of History, History</w:t>
      </w:r>
      <w:r w:rsidR="00986704">
        <w:rPr>
          <w:b/>
          <w:color w:val="7030A0"/>
          <w:sz w:val="22"/>
          <w:szCs w:val="22"/>
        </w:rPr>
        <w:t xml:space="preserve"> and Geography</w:t>
      </w:r>
      <w:r w:rsidRPr="008E38B4">
        <w:rPr>
          <w:b/>
          <w:color w:val="7030A0"/>
          <w:sz w:val="22"/>
          <w:szCs w:val="22"/>
        </w:rPr>
        <w:t xml:space="preserve">, </w:t>
      </w:r>
      <w:hyperlink r:id="rId13" w:history="1">
        <w:r w:rsidRPr="008E38B4">
          <w:rPr>
            <w:rStyle w:val="Hyperlink"/>
            <w:b/>
            <w:color w:val="7030A0"/>
            <w:sz w:val="22"/>
            <w:szCs w:val="22"/>
          </w:rPr>
          <w:t>william.risch@gcsu.edu</w:t>
        </w:r>
      </w:hyperlink>
      <w:r w:rsidRPr="008E38B4">
        <w:rPr>
          <w:b/>
          <w:color w:val="7030A0"/>
          <w:sz w:val="22"/>
          <w:szCs w:val="22"/>
        </w:rPr>
        <w:t xml:space="preserve"> </w:t>
      </w:r>
    </w:p>
    <w:p w14:paraId="17C331B8" w14:textId="432382D1" w:rsidR="00986704" w:rsidRPr="00986704" w:rsidRDefault="00986704" w:rsidP="008E38B4">
      <w:pPr>
        <w:pStyle w:val="ListParagraph"/>
        <w:numPr>
          <w:ilvl w:val="0"/>
          <w:numId w:val="17"/>
        </w:numPr>
        <w:rPr>
          <w:b/>
          <w:color w:val="7030A0"/>
          <w:sz w:val="22"/>
          <w:szCs w:val="22"/>
          <w:lang w:val="fr-FR"/>
        </w:rPr>
      </w:pPr>
      <w:r w:rsidRPr="00986704">
        <w:rPr>
          <w:b/>
          <w:color w:val="7030A0"/>
          <w:sz w:val="22"/>
          <w:szCs w:val="22"/>
          <w:lang w:val="fr-FR"/>
        </w:rPr>
        <w:t xml:space="preserve">Dr. James </w:t>
      </w:r>
      <w:proofErr w:type="spellStart"/>
      <w:r w:rsidRPr="00986704">
        <w:rPr>
          <w:b/>
          <w:color w:val="7030A0"/>
          <w:sz w:val="22"/>
          <w:szCs w:val="22"/>
          <w:lang w:val="fr-FR"/>
        </w:rPr>
        <w:t>Schiffman</w:t>
      </w:r>
      <w:proofErr w:type="spellEnd"/>
      <w:r w:rsidRPr="00986704">
        <w:rPr>
          <w:b/>
          <w:color w:val="7030A0"/>
          <w:sz w:val="22"/>
          <w:szCs w:val="22"/>
          <w:lang w:val="fr-FR"/>
        </w:rPr>
        <w:t>, Ass</w:t>
      </w:r>
      <w:r>
        <w:rPr>
          <w:b/>
          <w:color w:val="7030A0"/>
          <w:sz w:val="22"/>
          <w:szCs w:val="22"/>
          <w:lang w:val="fr-FR"/>
        </w:rPr>
        <w:t>oc</w:t>
      </w:r>
      <w:r w:rsidRPr="00986704">
        <w:rPr>
          <w:b/>
          <w:color w:val="7030A0"/>
          <w:sz w:val="22"/>
          <w:szCs w:val="22"/>
          <w:lang w:val="fr-FR"/>
        </w:rPr>
        <w:t xml:space="preserve"> Professor of Communications, Communications, </w:t>
      </w:r>
      <w:hyperlink r:id="rId14" w:history="1">
        <w:r w:rsidRPr="00986704">
          <w:rPr>
            <w:rStyle w:val="Hyperlink"/>
            <w:b/>
            <w:color w:val="7030A0"/>
            <w:sz w:val="22"/>
            <w:szCs w:val="22"/>
            <w:lang w:val="fr-FR"/>
          </w:rPr>
          <w:t>james.schiffman@gcsu.edu</w:t>
        </w:r>
      </w:hyperlink>
      <w:r w:rsidRPr="00986704">
        <w:rPr>
          <w:b/>
          <w:color w:val="7030A0"/>
          <w:sz w:val="22"/>
          <w:szCs w:val="22"/>
          <w:lang w:val="fr-FR"/>
        </w:rPr>
        <w:t xml:space="preserve"> </w:t>
      </w:r>
    </w:p>
    <w:p w14:paraId="1686D3F0" w14:textId="10CCA327" w:rsidR="008E38B4" w:rsidRPr="008E38B4" w:rsidRDefault="008E38B4" w:rsidP="008E38B4">
      <w:pPr>
        <w:pStyle w:val="ListParagraph"/>
        <w:numPr>
          <w:ilvl w:val="0"/>
          <w:numId w:val="17"/>
        </w:numPr>
        <w:rPr>
          <w:b/>
          <w:color w:val="7030A0"/>
          <w:sz w:val="22"/>
          <w:szCs w:val="22"/>
        </w:rPr>
      </w:pPr>
      <w:r w:rsidRPr="008E38B4">
        <w:rPr>
          <w:b/>
          <w:color w:val="7030A0"/>
          <w:sz w:val="22"/>
          <w:szCs w:val="22"/>
        </w:rPr>
        <w:t xml:space="preserve">Holly Croft, Digital Archivist, Asst Professor of Library Science, </w:t>
      </w:r>
      <w:hyperlink r:id="rId15" w:history="1">
        <w:r w:rsidRPr="008E38B4">
          <w:rPr>
            <w:rStyle w:val="Hyperlink"/>
            <w:b/>
            <w:color w:val="7030A0"/>
            <w:sz w:val="22"/>
            <w:szCs w:val="22"/>
          </w:rPr>
          <w:t>holly.croft@gcsu.edu</w:t>
        </w:r>
      </w:hyperlink>
    </w:p>
    <w:p w14:paraId="0AD522C8" w14:textId="1EA9BB99" w:rsidR="008E38B4" w:rsidRPr="008E38B4" w:rsidRDefault="008E38B4" w:rsidP="008E38B4">
      <w:pPr>
        <w:pStyle w:val="ListParagraph"/>
        <w:numPr>
          <w:ilvl w:val="0"/>
          <w:numId w:val="17"/>
        </w:numPr>
        <w:rPr>
          <w:b/>
          <w:color w:val="7030A0"/>
          <w:sz w:val="22"/>
          <w:szCs w:val="22"/>
        </w:rPr>
      </w:pPr>
      <w:r w:rsidRPr="008E38B4">
        <w:rPr>
          <w:b/>
          <w:color w:val="7030A0"/>
          <w:sz w:val="22"/>
          <w:szCs w:val="22"/>
        </w:rPr>
        <w:t>Jaclyn Queen, Instructional Designer, Center for Teaching and Learning,</w:t>
      </w:r>
      <w:r w:rsidRPr="008E38B4">
        <w:rPr>
          <w:b/>
          <w:color w:val="7030A0"/>
          <w:sz w:val="22"/>
          <w:szCs w:val="22"/>
        </w:rPr>
        <w:t xml:space="preserve"> </w:t>
      </w:r>
      <w:hyperlink r:id="rId16" w:history="1">
        <w:r w:rsidRPr="008E38B4">
          <w:rPr>
            <w:rStyle w:val="Hyperlink"/>
            <w:b/>
            <w:color w:val="7030A0"/>
            <w:sz w:val="22"/>
            <w:szCs w:val="22"/>
          </w:rPr>
          <w:t>Jaclyn.queen@gcsu.edu</w:t>
        </w:r>
      </w:hyperlink>
    </w:p>
    <w:p w14:paraId="7AAFB71F" w14:textId="1ED7EC8D" w:rsidR="008E38B4" w:rsidRDefault="008E38B4" w:rsidP="00687254">
      <w:pPr>
        <w:ind w:left="360"/>
        <w:rPr>
          <w:b/>
          <w:color w:val="7030A0"/>
          <w:sz w:val="22"/>
          <w:szCs w:val="22"/>
        </w:rPr>
      </w:pPr>
    </w:p>
    <w:p w14:paraId="5C9A9D82" w14:textId="77777777" w:rsidR="00986704" w:rsidRPr="008E38B4" w:rsidRDefault="00986704" w:rsidP="00687254">
      <w:pPr>
        <w:ind w:left="360"/>
        <w:rPr>
          <w:b/>
          <w:color w:val="7030A0"/>
          <w:sz w:val="22"/>
          <w:szCs w:val="22"/>
        </w:rPr>
      </w:pPr>
    </w:p>
    <w:p w14:paraId="34B1BF33" w14:textId="457FFEF8" w:rsidR="00C56355" w:rsidRDefault="00DF79E1" w:rsidP="00E167BE">
      <w:pPr>
        <w:ind w:left="360"/>
        <w:rPr>
          <w:b/>
        </w:rPr>
      </w:pPr>
      <w:r w:rsidRPr="004F2656">
        <w:rPr>
          <w:b/>
        </w:rPr>
        <w:t>Course Name(s) and Course Numbers</w:t>
      </w:r>
      <w:r w:rsidR="003E1BCB" w:rsidRPr="004F2656">
        <w:rPr>
          <w:b/>
        </w:rPr>
        <w:t>:</w:t>
      </w:r>
      <w:r w:rsidR="008E38B4">
        <w:rPr>
          <w:b/>
        </w:rPr>
        <w:t xml:space="preserve"> </w:t>
      </w:r>
    </w:p>
    <w:p w14:paraId="36EDACDF" w14:textId="79DDD27C" w:rsidR="00C56355" w:rsidRPr="00986704" w:rsidRDefault="00C56355" w:rsidP="00986704">
      <w:pPr>
        <w:pStyle w:val="ListParagraph"/>
        <w:numPr>
          <w:ilvl w:val="0"/>
          <w:numId w:val="20"/>
        </w:numPr>
        <w:rPr>
          <w:b/>
          <w:color w:val="7030A0"/>
        </w:rPr>
      </w:pPr>
      <w:r w:rsidRPr="00986704">
        <w:rPr>
          <w:b/>
          <w:color w:val="7030A0"/>
        </w:rPr>
        <w:t>FREN 4950 – French Fairy Tales</w:t>
      </w:r>
    </w:p>
    <w:p w14:paraId="4DE0E3D2" w14:textId="45334CD4" w:rsidR="00C56355" w:rsidRDefault="00C56355" w:rsidP="00986704">
      <w:pPr>
        <w:pStyle w:val="ListParagraph"/>
        <w:numPr>
          <w:ilvl w:val="0"/>
          <w:numId w:val="20"/>
        </w:numPr>
        <w:rPr>
          <w:b/>
          <w:color w:val="7030A0"/>
        </w:rPr>
      </w:pPr>
      <w:r w:rsidRPr="00986704">
        <w:rPr>
          <w:b/>
          <w:color w:val="7030A0"/>
        </w:rPr>
        <w:t xml:space="preserve">HIST </w:t>
      </w:r>
      <w:r w:rsidR="00986704" w:rsidRPr="00986704">
        <w:rPr>
          <w:b/>
          <w:color w:val="7030A0"/>
        </w:rPr>
        <w:t xml:space="preserve">4950 – </w:t>
      </w:r>
      <w:r w:rsidR="0088651C">
        <w:rPr>
          <w:b/>
          <w:color w:val="7030A0"/>
        </w:rPr>
        <w:t>Colonial Africa (for future use in HIST 1132 World History)</w:t>
      </w:r>
    </w:p>
    <w:p w14:paraId="6274FA0F" w14:textId="01031B71" w:rsidR="00986704" w:rsidRPr="00986704" w:rsidRDefault="00986704" w:rsidP="00986704">
      <w:pPr>
        <w:pStyle w:val="ListParagraph"/>
        <w:numPr>
          <w:ilvl w:val="0"/>
          <w:numId w:val="20"/>
        </w:numPr>
        <w:rPr>
          <w:b/>
          <w:color w:val="7030A0"/>
        </w:rPr>
      </w:pPr>
      <w:r w:rsidRPr="00986704">
        <w:rPr>
          <w:b/>
          <w:color w:val="7030A0"/>
        </w:rPr>
        <w:t>MSCM 3376 – Advocacy Journalism</w:t>
      </w:r>
    </w:p>
    <w:p w14:paraId="46A62745" w14:textId="26B69DE0" w:rsidR="00DF79E1" w:rsidRPr="00986704" w:rsidRDefault="00C56355" w:rsidP="00986704">
      <w:pPr>
        <w:pStyle w:val="ListParagraph"/>
        <w:numPr>
          <w:ilvl w:val="0"/>
          <w:numId w:val="20"/>
        </w:numPr>
        <w:rPr>
          <w:b/>
          <w:color w:val="7030A0"/>
        </w:rPr>
      </w:pPr>
      <w:r w:rsidRPr="00986704">
        <w:rPr>
          <w:b/>
          <w:color w:val="7030A0"/>
        </w:rPr>
        <w:t>SPAN 4500 – Seminar in Contemporary Latin American Culture</w:t>
      </w:r>
    </w:p>
    <w:p w14:paraId="1A64301F" w14:textId="77777777" w:rsidR="00986704" w:rsidRDefault="00986704" w:rsidP="00E167BE">
      <w:pPr>
        <w:ind w:left="360"/>
        <w:rPr>
          <w:b/>
        </w:rPr>
      </w:pPr>
    </w:p>
    <w:p w14:paraId="3E617D79" w14:textId="34F79D8E" w:rsidR="00DF79E1" w:rsidRPr="00986704" w:rsidRDefault="00DF79E1" w:rsidP="00E167BE">
      <w:pPr>
        <w:ind w:left="360"/>
        <w:rPr>
          <w:b/>
          <w:color w:val="7030A0"/>
        </w:rPr>
      </w:pPr>
      <w:r w:rsidRPr="004F2656">
        <w:rPr>
          <w:b/>
        </w:rPr>
        <w:lastRenderedPageBreak/>
        <w:t>Semester Project Began</w:t>
      </w:r>
      <w:r w:rsidR="003E1BCB" w:rsidRPr="004F2656">
        <w:rPr>
          <w:b/>
        </w:rPr>
        <w:t>:</w:t>
      </w:r>
      <w:r w:rsidR="008E38B4">
        <w:rPr>
          <w:b/>
        </w:rPr>
        <w:t xml:space="preserve"> </w:t>
      </w:r>
      <w:r w:rsidR="008E38B4" w:rsidRPr="00986704">
        <w:rPr>
          <w:b/>
          <w:color w:val="7030A0"/>
        </w:rPr>
        <w:t>Spring 2019</w:t>
      </w:r>
    </w:p>
    <w:p w14:paraId="4D2A60B3" w14:textId="20606B47" w:rsidR="00687254" w:rsidRPr="004F2656" w:rsidRDefault="0033401E" w:rsidP="00E167BE">
      <w:pPr>
        <w:ind w:left="360"/>
        <w:rPr>
          <w:b/>
        </w:rPr>
      </w:pPr>
      <w:r>
        <w:rPr>
          <w:b/>
        </w:rPr>
        <w:t xml:space="preserve">Final </w:t>
      </w:r>
      <w:r w:rsidR="00687254" w:rsidRPr="004F2656">
        <w:rPr>
          <w:b/>
        </w:rPr>
        <w:t>Semester of Implementation</w:t>
      </w:r>
      <w:r w:rsidR="003E1BCB" w:rsidRPr="004F2656">
        <w:rPr>
          <w:b/>
        </w:rPr>
        <w:t>:</w:t>
      </w:r>
      <w:r w:rsidR="008E38B4">
        <w:rPr>
          <w:b/>
        </w:rPr>
        <w:t xml:space="preserve"> </w:t>
      </w:r>
      <w:r w:rsidR="008E38B4" w:rsidRPr="00986704">
        <w:rPr>
          <w:b/>
          <w:color w:val="7030A0"/>
        </w:rPr>
        <w:t>Spring 2020</w:t>
      </w:r>
    </w:p>
    <w:p w14:paraId="6AA64C08" w14:textId="459A0BB8" w:rsidR="00DF79E1" w:rsidRPr="004F2656" w:rsidRDefault="00DF79E1" w:rsidP="00DF79E1">
      <w:pPr>
        <w:ind w:left="360"/>
        <w:rPr>
          <w:b/>
        </w:rPr>
      </w:pPr>
      <w:r w:rsidRPr="004F2656">
        <w:rPr>
          <w:b/>
        </w:rPr>
        <w:t>Total Number of Stud</w:t>
      </w:r>
      <w:r w:rsidR="0033401E">
        <w:rPr>
          <w:b/>
        </w:rPr>
        <w:t>ents Affected During Project</w:t>
      </w:r>
      <w:r w:rsidR="003E1BCB" w:rsidRPr="004F2656">
        <w:rPr>
          <w:b/>
        </w:rPr>
        <w:t>:</w:t>
      </w:r>
      <w:r w:rsidR="008E38B4">
        <w:rPr>
          <w:b/>
        </w:rPr>
        <w:t xml:space="preserve"> </w:t>
      </w:r>
      <w:r w:rsidR="00986704">
        <w:rPr>
          <w:b/>
          <w:color w:val="7030A0"/>
        </w:rPr>
        <w:t>+</w:t>
      </w:r>
      <w:r w:rsidR="00C56355" w:rsidRPr="00986704">
        <w:rPr>
          <w:b/>
          <w:color w:val="7030A0"/>
        </w:rPr>
        <w:t>100</w:t>
      </w:r>
    </w:p>
    <w:p w14:paraId="5E081281" w14:textId="74C9CB1A" w:rsidR="00687254" w:rsidRDefault="00687254" w:rsidP="00E167BE">
      <w:pPr>
        <w:rPr>
          <w:b/>
        </w:rPr>
      </w:pPr>
    </w:p>
    <w:p w14:paraId="7C819642" w14:textId="126E5EE3" w:rsidR="0033401E" w:rsidRDefault="0033401E" w:rsidP="00E167BE">
      <w:pPr>
        <w:rPr>
          <w:b/>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rPr>
      </w:pPr>
      <w:r w:rsidRPr="003F4D85">
        <w:rPr>
          <w:i/>
          <w:iCs/>
        </w:rPr>
        <w:t>Describe</w:t>
      </w:r>
      <w:r w:rsidR="001B2107" w:rsidRPr="003F4D85">
        <w:rPr>
          <w:i/>
          <w:iCs/>
        </w:rPr>
        <w:t xml:space="preserve"> the key outcomes, </w:t>
      </w:r>
      <w:r w:rsidR="003E1BCB" w:rsidRPr="003F4D85">
        <w:rPr>
          <w:i/>
          <w:iCs/>
        </w:rPr>
        <w:t xml:space="preserve">whether </w:t>
      </w:r>
      <w:r w:rsidR="001B2107" w:rsidRPr="003F4D85">
        <w:rPr>
          <w:i/>
          <w:iCs/>
        </w:rPr>
        <w:t xml:space="preserve">positive, </w:t>
      </w:r>
      <w:r w:rsidRPr="003F4D85">
        <w:rPr>
          <w:i/>
          <w:iCs/>
        </w:rPr>
        <w:t>negative,</w:t>
      </w:r>
      <w:r w:rsidR="001B2107" w:rsidRPr="003F4D85">
        <w:rPr>
          <w:i/>
          <w:iCs/>
        </w:rPr>
        <w:t xml:space="preserve"> </w:t>
      </w:r>
      <w:r w:rsidR="003E1BCB" w:rsidRPr="003F4D85">
        <w:rPr>
          <w:i/>
          <w:iCs/>
        </w:rPr>
        <w:t>or</w:t>
      </w:r>
      <w:r w:rsidR="001B2107" w:rsidRPr="003F4D85">
        <w:rPr>
          <w:i/>
          <w:iCs/>
        </w:rPr>
        <w:t xml:space="preserve"> interesting,</w:t>
      </w:r>
      <w:r w:rsidRPr="003F4D85">
        <w:rPr>
          <w:i/>
          <w:iCs/>
        </w:rPr>
        <w:t xml:space="preserve"> of your project.  Include:</w:t>
      </w:r>
    </w:p>
    <w:p w14:paraId="38E42C53" w14:textId="05A153C7" w:rsidR="00DF79E1" w:rsidRDefault="00DF79E1" w:rsidP="00DF79E1">
      <w:pPr>
        <w:pStyle w:val="ListParagraph"/>
        <w:numPr>
          <w:ilvl w:val="0"/>
          <w:numId w:val="8"/>
        </w:numPr>
        <w:rPr>
          <w:i/>
          <w:iCs/>
        </w:rPr>
      </w:pPr>
      <w:r w:rsidRPr="003F4D85">
        <w:rPr>
          <w:i/>
          <w:iCs/>
        </w:rPr>
        <w:t>Summary of your transformation</w:t>
      </w:r>
      <w:r w:rsidR="008E6CE7">
        <w:rPr>
          <w:i/>
          <w:iCs/>
        </w:rPr>
        <w:t xml:space="preserve"> and game creation</w:t>
      </w:r>
      <w:r w:rsidRPr="003F4D85">
        <w:rPr>
          <w:i/>
          <w:iCs/>
        </w:rPr>
        <w:t xml:space="preserve"> experience, including challenges</w:t>
      </w:r>
      <w:r w:rsidR="00101A24" w:rsidRPr="003F4D85">
        <w:rPr>
          <w:i/>
          <w:iCs/>
        </w:rPr>
        <w:t xml:space="preserve"> and accomplishments</w:t>
      </w:r>
    </w:p>
    <w:p w14:paraId="1917A80D" w14:textId="4E169F19" w:rsidR="00A452EA" w:rsidRDefault="00A452EA" w:rsidP="00A452EA">
      <w:pPr>
        <w:rPr>
          <w:color w:val="7030A0"/>
        </w:rPr>
      </w:pPr>
      <w:r>
        <w:rPr>
          <w:color w:val="7030A0"/>
        </w:rPr>
        <w:t>Our</w:t>
      </w:r>
      <w:r w:rsidRPr="00A452EA">
        <w:rPr>
          <w:color w:val="7030A0"/>
        </w:rPr>
        <w:t xml:space="preserve"> goal </w:t>
      </w:r>
      <w:r>
        <w:rPr>
          <w:color w:val="7030A0"/>
        </w:rPr>
        <w:t>for</w:t>
      </w:r>
      <w:r w:rsidRPr="00A452EA">
        <w:rPr>
          <w:color w:val="7030A0"/>
        </w:rPr>
        <w:t xml:space="preserve"> this </w:t>
      </w:r>
      <w:r>
        <w:rPr>
          <w:color w:val="7030A0"/>
        </w:rPr>
        <w:t>project aligned with several of the high impact practices that are part of our “GC Journeys.”</w:t>
      </w:r>
      <w:r w:rsidRPr="00A452EA">
        <w:rPr>
          <w:color w:val="7030A0"/>
        </w:rPr>
        <w:t xml:space="preserve"> </w:t>
      </w:r>
      <w:r>
        <w:rPr>
          <w:color w:val="7030A0"/>
        </w:rPr>
        <w:t>We wanted</w:t>
      </w:r>
      <w:r w:rsidRPr="00A452EA">
        <w:rPr>
          <w:color w:val="7030A0"/>
        </w:rPr>
        <w:t xml:space="preserve"> to provide faculty members with resources allowing them to create a templated module that is easy to adapt and readily available for additional Georgia College faculty teaching GC2Y courses or for faculty at other institutions in the USG System teaching Area B “general education” courses (“</w:t>
      </w:r>
      <w:r w:rsidRPr="00A452EA">
        <w:rPr>
          <w:rStyle w:val="s1"/>
          <w:i/>
          <w:color w:val="7030A0"/>
        </w:rPr>
        <w:t>Courses that address general education learning outcomes of the institution’s choosing</w:t>
      </w:r>
      <w:r w:rsidRPr="00A452EA">
        <w:rPr>
          <w:rStyle w:val="s1"/>
          <w:color w:val="7030A0"/>
        </w:rPr>
        <w:t>,” per Section 2.4.2 of USG Academic &amp; Student Affairs Handbook</w:t>
      </w:r>
      <w:r w:rsidRPr="00A452EA">
        <w:rPr>
          <w:color w:val="7030A0"/>
        </w:rPr>
        <w:t xml:space="preserve">). The module would serve as a gateway for using published RTTP games in the classroom. One of the most immediate outcomes would be to increase interest and participation in the longer, more complex game and thus improve classroom success rates and lower DFW rates. Ultimately, the introduction of this module would participate in improving all of the </w:t>
      </w:r>
      <w:r>
        <w:rPr>
          <w:color w:val="7030A0"/>
        </w:rPr>
        <w:t xml:space="preserve">GC Journeys </w:t>
      </w:r>
      <w:r w:rsidRPr="00A452EA">
        <w:rPr>
          <w:color w:val="7030A0"/>
        </w:rPr>
        <w:t>outcomes highlighted above.</w:t>
      </w:r>
    </w:p>
    <w:p w14:paraId="54E261D7" w14:textId="77777777" w:rsidR="000240BC" w:rsidRDefault="000240BC" w:rsidP="00A452EA">
      <w:pPr>
        <w:rPr>
          <w:color w:val="7030A0"/>
        </w:rPr>
      </w:pPr>
    </w:p>
    <w:p w14:paraId="58C01CFF" w14:textId="77777777" w:rsidR="00A24265" w:rsidRDefault="00A24265" w:rsidP="000240BC">
      <w:pPr>
        <w:rPr>
          <w:color w:val="7030A0"/>
        </w:rPr>
      </w:pPr>
      <w:r>
        <w:rPr>
          <w:color w:val="7030A0"/>
        </w:rPr>
        <w:t>The project</w:t>
      </w:r>
      <w:r w:rsidR="000240BC" w:rsidRPr="000240BC">
        <w:rPr>
          <w:color w:val="7030A0"/>
        </w:rPr>
        <w:t xml:space="preserve"> aimed to enhance awareness of and engagement with the RTP model for the wider use of mini-game scenarios in various courses, including key Core offerings, at GCSU. The team planned and delivered a series of workshops that included students with past experience of using RTP in courses, faculty who had used and developed RTP experiences, academic support staff with knowledge of RTP and engaged learning activities as well as faculty who were new to the model. Team leaders explained and ran simulations of various RTP model games and gathered feedback from participants in qualitative discussions that informed future workshop planning and the further development of mini games in various courses. One significant challenge for this part of the project was limited participation among faculty unfamiliar with the mode.</w:t>
      </w:r>
      <w:r w:rsidR="000240BC" w:rsidRPr="000240BC">
        <w:rPr>
          <w:color w:val="7030A0"/>
        </w:rPr>
        <w:br/>
      </w:r>
    </w:p>
    <w:p w14:paraId="5F72B1AA" w14:textId="5894BBA4" w:rsidR="000240BC" w:rsidRPr="000240BC" w:rsidRDefault="00A24265" w:rsidP="000240BC">
      <w:pPr>
        <w:rPr>
          <w:color w:val="7030A0"/>
        </w:rPr>
      </w:pPr>
      <w:r w:rsidRPr="000240BC">
        <w:rPr>
          <w:color w:val="7030A0"/>
        </w:rPr>
        <w:t>The</w:t>
      </w:r>
      <w:r>
        <w:rPr>
          <w:color w:val="7030A0"/>
        </w:rPr>
        <w:t xml:space="preserve"> actual mini-game</w:t>
      </w:r>
      <w:r w:rsidRPr="000240BC">
        <w:rPr>
          <w:color w:val="7030A0"/>
        </w:rPr>
        <w:t xml:space="preserve"> project</w:t>
      </w:r>
      <w:r>
        <w:rPr>
          <w:color w:val="7030A0"/>
        </w:rPr>
        <w:t xml:space="preserve"> used for the grant was </w:t>
      </w:r>
      <w:r>
        <w:rPr>
          <w:color w:val="7030A0"/>
        </w:rPr>
        <w:t>developed by</w:t>
      </w:r>
      <w:r>
        <w:rPr>
          <w:color w:val="7030A0"/>
        </w:rPr>
        <w:t xml:space="preserve"> </w:t>
      </w:r>
      <w:r>
        <w:rPr>
          <w:color w:val="7030A0"/>
        </w:rPr>
        <w:t xml:space="preserve">Dr. </w:t>
      </w:r>
      <w:proofErr w:type="spellStart"/>
      <w:r>
        <w:rPr>
          <w:color w:val="7030A0"/>
        </w:rPr>
        <w:t>Aran</w:t>
      </w:r>
      <w:proofErr w:type="spellEnd"/>
      <w:r>
        <w:rPr>
          <w:color w:val="7030A0"/>
        </w:rPr>
        <w:t xml:space="preserve"> McKinnon</w:t>
      </w:r>
      <w:r w:rsidR="000240BC" w:rsidRPr="000240BC">
        <w:rPr>
          <w:color w:val="7030A0"/>
        </w:rPr>
        <w:t xml:space="preserve"> and implemented based on the RTP model in an upper level history course on Colonial Africa. The game was titled </w:t>
      </w:r>
      <w:r>
        <w:rPr>
          <w:color w:val="7030A0"/>
        </w:rPr>
        <w:t>“</w:t>
      </w:r>
      <w:r w:rsidR="000240BC" w:rsidRPr="000240BC">
        <w:rPr>
          <w:color w:val="7030A0"/>
        </w:rPr>
        <w:t xml:space="preserve">Reparations for Mau </w:t>
      </w:r>
      <w:proofErr w:type="spellStart"/>
      <w:r w:rsidR="000240BC" w:rsidRPr="000240BC">
        <w:rPr>
          <w:color w:val="7030A0"/>
        </w:rPr>
        <w:t>Mau</w:t>
      </w:r>
      <w:proofErr w:type="spellEnd"/>
      <w:r w:rsidR="000240BC" w:rsidRPr="000240BC">
        <w:rPr>
          <w:color w:val="7030A0"/>
        </w:rPr>
        <w:t xml:space="preserve"> Insurgents and the End of Empire in Colonial Kenya</w:t>
      </w:r>
      <w:r>
        <w:rPr>
          <w:color w:val="7030A0"/>
        </w:rPr>
        <w:t>.”</w:t>
      </w:r>
      <w:r w:rsidR="000240BC" w:rsidRPr="000240BC">
        <w:rPr>
          <w:color w:val="7030A0"/>
        </w:rPr>
        <w:t xml:space="preserve"> The purpose of the game was to engage students in role-playing in a simulation in which they each represented a stake-holder in a hearing to determine if reparations should be paid to Africans who resisted oppression in Colonial Kenya. </w:t>
      </w:r>
      <w:r>
        <w:rPr>
          <w:color w:val="7030A0"/>
        </w:rPr>
        <w:t xml:space="preserve">Dr. McKinnon </w:t>
      </w:r>
      <w:r w:rsidR="000240BC" w:rsidRPr="000240BC">
        <w:rPr>
          <w:color w:val="7030A0"/>
        </w:rPr>
        <w:t>developed a game scenario with SLOs (develop a sense of empathy for historical people, apply content to a real-world setting, analyze how history can inform social justice issues) related to the course and identified a series of OERs that others could use in running this game simulation.</w:t>
      </w:r>
      <w:r w:rsidR="000240BC" w:rsidRPr="000240BC">
        <w:rPr>
          <w:rStyle w:val="apple-converted-space"/>
          <w:color w:val="7030A0"/>
        </w:rPr>
        <w:t> </w:t>
      </w:r>
      <w:r>
        <w:rPr>
          <w:rStyle w:val="apple-converted-space"/>
          <w:color w:val="7030A0"/>
        </w:rPr>
        <w:t>His narrative proposal with a breakdown of OERs in attached to this final submittal.</w:t>
      </w:r>
    </w:p>
    <w:p w14:paraId="4E823816" w14:textId="77777777" w:rsidR="000240BC" w:rsidRPr="000240BC" w:rsidRDefault="000240BC" w:rsidP="00A452EA">
      <w:pPr>
        <w:rPr>
          <w:color w:val="7030A0"/>
        </w:rPr>
      </w:pPr>
    </w:p>
    <w:p w14:paraId="6F43F3B1" w14:textId="5CEF7105" w:rsidR="00DF79E1" w:rsidRDefault="00DF79E1" w:rsidP="00DF79E1">
      <w:pPr>
        <w:pStyle w:val="ListParagraph"/>
        <w:numPr>
          <w:ilvl w:val="0"/>
          <w:numId w:val="8"/>
        </w:numPr>
        <w:rPr>
          <w:i/>
          <w:iCs/>
        </w:rPr>
      </w:pPr>
      <w:r w:rsidRPr="003F4D85">
        <w:rPr>
          <w:i/>
          <w:iCs/>
        </w:rPr>
        <w:t>Transformative impacts on your instruction</w:t>
      </w:r>
    </w:p>
    <w:p w14:paraId="02E0166F" w14:textId="7469CADA" w:rsidR="00A24265" w:rsidRPr="006B20F7" w:rsidRDefault="00A24265" w:rsidP="00A24265">
      <w:pPr>
        <w:rPr>
          <w:color w:val="7030A0"/>
        </w:rPr>
      </w:pPr>
      <w:r w:rsidRPr="006B20F7">
        <w:rPr>
          <w:rStyle w:val="apple-converted-space"/>
          <w:color w:val="7030A0"/>
        </w:rPr>
        <w:lastRenderedPageBreak/>
        <w:t>Team members had different experiences through either the planning and</w:t>
      </w:r>
      <w:r w:rsidRPr="006B20F7">
        <w:rPr>
          <w:rStyle w:val="apple-converted-space"/>
          <w:color w:val="7030A0"/>
        </w:rPr>
        <w:t> </w:t>
      </w:r>
      <w:r w:rsidRPr="006B20F7">
        <w:rPr>
          <w:color w:val="7030A0"/>
        </w:rPr>
        <w:t>implement</w:t>
      </w:r>
      <w:r w:rsidRPr="006B20F7">
        <w:rPr>
          <w:color w:val="7030A0"/>
        </w:rPr>
        <w:t>at</w:t>
      </w:r>
      <w:r w:rsidRPr="006B20F7">
        <w:rPr>
          <w:color w:val="7030A0"/>
        </w:rPr>
        <w:t>i</w:t>
      </w:r>
      <w:r w:rsidRPr="006B20F7">
        <w:rPr>
          <w:color w:val="7030A0"/>
        </w:rPr>
        <w:t>on of</w:t>
      </w:r>
      <w:r w:rsidRPr="006B20F7">
        <w:rPr>
          <w:color w:val="7030A0"/>
        </w:rPr>
        <w:t xml:space="preserve"> the workshops and</w:t>
      </w:r>
      <w:r w:rsidRPr="006B20F7">
        <w:rPr>
          <w:color w:val="7030A0"/>
        </w:rPr>
        <w:t>/or</w:t>
      </w:r>
      <w:r w:rsidRPr="006B20F7">
        <w:rPr>
          <w:color w:val="7030A0"/>
        </w:rPr>
        <w:t xml:space="preserve"> the development of the mini game</w:t>
      </w:r>
      <w:r w:rsidRPr="006B20F7">
        <w:rPr>
          <w:color w:val="7030A0"/>
        </w:rPr>
        <w:t>s. Several faculty</w:t>
      </w:r>
      <w:r w:rsidR="006D3F48" w:rsidRPr="006B20F7">
        <w:rPr>
          <w:color w:val="7030A0"/>
        </w:rPr>
        <w:t xml:space="preserve"> members</w:t>
      </w:r>
      <w:r w:rsidRPr="006B20F7">
        <w:rPr>
          <w:color w:val="7030A0"/>
        </w:rPr>
        <w:t xml:space="preserve"> noted that these experiences</w:t>
      </w:r>
      <w:r w:rsidRPr="006B20F7">
        <w:rPr>
          <w:color w:val="7030A0"/>
        </w:rPr>
        <w:t xml:space="preserve"> were transformative for </w:t>
      </w:r>
      <w:r w:rsidRPr="006B20F7">
        <w:rPr>
          <w:color w:val="7030A0"/>
        </w:rPr>
        <w:t>their classroom</w:t>
      </w:r>
      <w:r w:rsidRPr="006B20F7">
        <w:rPr>
          <w:color w:val="7030A0"/>
        </w:rPr>
        <w:t xml:space="preserve"> instruction in that it allowed </w:t>
      </w:r>
      <w:r w:rsidRPr="006B20F7">
        <w:rPr>
          <w:color w:val="7030A0"/>
        </w:rPr>
        <w:t>them</w:t>
      </w:r>
      <w:r w:rsidRPr="006B20F7">
        <w:rPr>
          <w:color w:val="7030A0"/>
        </w:rPr>
        <w:t xml:space="preserve"> to explore a</w:t>
      </w:r>
      <w:r w:rsidRPr="006B20F7">
        <w:rPr>
          <w:color w:val="7030A0"/>
        </w:rPr>
        <w:t>n</w:t>
      </w:r>
      <w:r w:rsidRPr="006B20F7">
        <w:rPr>
          <w:color w:val="7030A0"/>
        </w:rPr>
        <w:t xml:space="preserve"> engaged, high impact model of pedagogy both from the point of view of teaching it to others and also as a vehicle for developing a more intensive, open-ended, student-centered activity. Since the goal of the game is to allow students to explore various indeterminate possibilities based on OERs, </w:t>
      </w:r>
      <w:r w:rsidR="006D3F48" w:rsidRPr="006B20F7">
        <w:rPr>
          <w:color w:val="7030A0"/>
        </w:rPr>
        <w:t>faculty commented on the benefits of this easily accessible resource which empowered them to deliver</w:t>
      </w:r>
      <w:r w:rsidRPr="006B20F7">
        <w:rPr>
          <w:color w:val="7030A0"/>
        </w:rPr>
        <w:t xml:space="preserve"> </w:t>
      </w:r>
      <w:r w:rsidR="006D3F48" w:rsidRPr="006B20F7">
        <w:rPr>
          <w:color w:val="7030A0"/>
        </w:rPr>
        <w:t>the</w:t>
      </w:r>
      <w:r w:rsidRPr="006B20F7">
        <w:rPr>
          <w:color w:val="7030A0"/>
        </w:rPr>
        <w:t xml:space="preserve"> </w:t>
      </w:r>
      <w:r w:rsidR="006D3F48" w:rsidRPr="006B20F7">
        <w:rPr>
          <w:color w:val="7030A0"/>
        </w:rPr>
        <w:t xml:space="preserve">set course </w:t>
      </w:r>
      <w:r w:rsidRPr="006B20F7">
        <w:rPr>
          <w:color w:val="7030A0"/>
        </w:rPr>
        <w:t xml:space="preserve">content in a </w:t>
      </w:r>
      <w:r w:rsidR="006D3F48" w:rsidRPr="006B20F7">
        <w:rPr>
          <w:color w:val="7030A0"/>
        </w:rPr>
        <w:t>more engaging</w:t>
      </w:r>
      <w:r w:rsidRPr="006B20F7">
        <w:rPr>
          <w:color w:val="7030A0"/>
        </w:rPr>
        <w:t xml:space="preserve"> way.</w:t>
      </w:r>
    </w:p>
    <w:p w14:paraId="68CFC2FA" w14:textId="77777777" w:rsidR="00A24265" w:rsidRPr="006B20F7" w:rsidRDefault="00A24265" w:rsidP="00A24265">
      <w:pPr>
        <w:rPr>
          <w:color w:val="7030A0"/>
        </w:rPr>
      </w:pPr>
    </w:p>
    <w:p w14:paraId="37A6611B" w14:textId="78863C63" w:rsidR="00DF79E1" w:rsidRDefault="00DF79E1" w:rsidP="00DF79E1">
      <w:pPr>
        <w:pStyle w:val="ListParagraph"/>
        <w:numPr>
          <w:ilvl w:val="0"/>
          <w:numId w:val="8"/>
        </w:numPr>
        <w:rPr>
          <w:i/>
          <w:iCs/>
        </w:rPr>
      </w:pPr>
      <w:r w:rsidRPr="003F4D85">
        <w:rPr>
          <w:i/>
          <w:iCs/>
        </w:rPr>
        <w:t>Transformative impacts on your students and their performance</w:t>
      </w:r>
    </w:p>
    <w:p w14:paraId="50C7A949" w14:textId="796CD817" w:rsidR="006D3F48" w:rsidRPr="006B20F7" w:rsidRDefault="006D3F48" w:rsidP="006D3F48">
      <w:pPr>
        <w:spacing w:before="100" w:beforeAutospacing="1" w:after="100" w:afterAutospacing="1"/>
        <w:rPr>
          <w:color w:val="7030A0"/>
        </w:rPr>
      </w:pPr>
      <w:r w:rsidRPr="006B20F7">
        <w:rPr>
          <w:color w:val="7030A0"/>
        </w:rPr>
        <w:t>All faculty agreed that s</w:t>
      </w:r>
      <w:r w:rsidRPr="006D3F48">
        <w:rPr>
          <w:color w:val="7030A0"/>
        </w:rPr>
        <w:t>tudents appeared much more enthusiastic about the content when they had a role to play in showing how it worked in the game than in courses where they are only required to respond to set content. Students clearly did more close reading of material when they were responsible for participating and role-playing with peers than if they had only submitted a paper</w:t>
      </w:r>
      <w:r w:rsidRPr="006B20F7">
        <w:rPr>
          <w:color w:val="7030A0"/>
        </w:rPr>
        <w:t xml:space="preserve"> to the instructor</w:t>
      </w:r>
      <w:r w:rsidRPr="006D3F48">
        <w:rPr>
          <w:color w:val="7030A0"/>
        </w:rPr>
        <w:t xml:space="preserve"> on the topic</w:t>
      </w:r>
      <w:r w:rsidRPr="006B20F7">
        <w:rPr>
          <w:color w:val="7030A0"/>
        </w:rPr>
        <w:t>.</w:t>
      </w:r>
    </w:p>
    <w:p w14:paraId="5ED66BEF" w14:textId="77777777" w:rsidR="006D3F48" w:rsidRPr="006D3F48" w:rsidRDefault="006D3F48" w:rsidP="006D3F48"/>
    <w:p w14:paraId="0D1B3650" w14:textId="71FEEE95" w:rsidR="00101A24" w:rsidRDefault="00101A24" w:rsidP="003F4D85">
      <w:pPr>
        <w:pStyle w:val="ListParagraph"/>
        <w:numPr>
          <w:ilvl w:val="1"/>
          <w:numId w:val="18"/>
        </w:numPr>
        <w:ind w:left="720"/>
        <w:rPr>
          <w:i/>
          <w:iCs/>
        </w:rPr>
      </w:pPr>
      <w:r w:rsidRPr="003F4D85">
        <w:rPr>
          <w:i/>
          <w:iCs/>
        </w:rPr>
        <w:t xml:space="preserve">Describe lessons learned, including any things you would do differently next time.  </w:t>
      </w:r>
    </w:p>
    <w:p w14:paraId="264F029F" w14:textId="2EB933E4" w:rsidR="00B244F8" w:rsidRPr="006D3F48" w:rsidRDefault="00B244F8" w:rsidP="00B244F8">
      <w:pPr>
        <w:rPr>
          <w:color w:val="7030A0"/>
        </w:rPr>
      </w:pPr>
      <w:r w:rsidRPr="006D3F48">
        <w:rPr>
          <w:color w:val="7030A0"/>
        </w:rPr>
        <w:t>Challenges included:</w:t>
      </w:r>
    </w:p>
    <w:p w14:paraId="5C13CC21" w14:textId="19980861" w:rsidR="00B244F8" w:rsidRPr="006D3F48" w:rsidRDefault="00B244F8" w:rsidP="00B244F8">
      <w:pPr>
        <w:rPr>
          <w:color w:val="7030A0"/>
        </w:rPr>
      </w:pPr>
      <w:r w:rsidRPr="006D3F48">
        <w:rPr>
          <w:color w:val="7030A0"/>
        </w:rPr>
        <w:t>Working with new administrators</w:t>
      </w:r>
      <w:r w:rsidR="00AF5457" w:rsidRPr="006D3F48">
        <w:rPr>
          <w:color w:val="7030A0"/>
        </w:rPr>
        <w:t xml:space="preserve"> unfamiliar with </w:t>
      </w:r>
      <w:r w:rsidR="00AF5457" w:rsidRPr="006D3F48">
        <w:rPr>
          <w:i/>
          <w:iCs/>
          <w:color w:val="7030A0"/>
        </w:rPr>
        <w:t xml:space="preserve">Reacting </w:t>
      </w:r>
      <w:r w:rsidR="00AF5457" w:rsidRPr="006D3F48">
        <w:rPr>
          <w:color w:val="7030A0"/>
        </w:rPr>
        <w:t>as a pedagogy</w:t>
      </w:r>
      <w:r w:rsidRPr="006D3F48">
        <w:rPr>
          <w:color w:val="7030A0"/>
        </w:rPr>
        <w:t xml:space="preserve"> – Jordan </w:t>
      </w:r>
      <w:proofErr w:type="spellStart"/>
      <w:r w:rsidRPr="006D3F48">
        <w:rPr>
          <w:color w:val="7030A0"/>
        </w:rPr>
        <w:t>Cofer</w:t>
      </w:r>
      <w:proofErr w:type="spellEnd"/>
      <w:r w:rsidRPr="006D3F48">
        <w:rPr>
          <w:color w:val="7030A0"/>
        </w:rPr>
        <w:t>, Jim Berger</w:t>
      </w:r>
      <w:r w:rsidR="006D3F48">
        <w:rPr>
          <w:color w:val="7030A0"/>
        </w:rPr>
        <w:t>.</w:t>
      </w:r>
    </w:p>
    <w:p w14:paraId="6AA41360" w14:textId="7A4E3763" w:rsidR="00B244F8" w:rsidRPr="006D3F48" w:rsidRDefault="00AF5457" w:rsidP="00B244F8">
      <w:pPr>
        <w:rPr>
          <w:color w:val="7030A0"/>
        </w:rPr>
      </w:pPr>
      <w:r w:rsidRPr="006D3F48">
        <w:rPr>
          <w:color w:val="7030A0"/>
        </w:rPr>
        <w:t xml:space="preserve">Communicating the advantages of </w:t>
      </w:r>
      <w:r w:rsidRPr="006D3F48">
        <w:rPr>
          <w:i/>
          <w:iCs/>
          <w:color w:val="7030A0"/>
        </w:rPr>
        <w:t xml:space="preserve">Reacting </w:t>
      </w:r>
      <w:r w:rsidRPr="006D3F48">
        <w:rPr>
          <w:color w:val="7030A0"/>
        </w:rPr>
        <w:t xml:space="preserve">to </w:t>
      </w:r>
      <w:r w:rsidR="00B244F8" w:rsidRPr="006D3F48">
        <w:rPr>
          <w:color w:val="7030A0"/>
        </w:rPr>
        <w:t>faculty unfamiliar with the pedagogy</w:t>
      </w:r>
      <w:r w:rsidR="0088651C">
        <w:rPr>
          <w:color w:val="7030A0"/>
        </w:rPr>
        <w:t xml:space="preserve"> was the primary objective of our grant and remains the biggest challenge. Convincing faculty to grapple with new formats, new ideas, and new approaches to classroom management are all difficult, and transmitting the notion that our templates and gaming strategies engage students is a hard sell without administrative involvement.</w:t>
      </w:r>
    </w:p>
    <w:p w14:paraId="6E7CF058" w14:textId="4F3D3DDD" w:rsidR="00101A24" w:rsidRPr="004F2656" w:rsidRDefault="00101A24" w:rsidP="003F4D85">
      <w:pPr>
        <w:pStyle w:val="Heading1"/>
        <w:numPr>
          <w:ilvl w:val="0"/>
          <w:numId w:val="18"/>
        </w:numPr>
        <w:ind w:left="360"/>
      </w:pPr>
      <w:r w:rsidRPr="004F2656">
        <w:t>Quotes</w:t>
      </w:r>
    </w:p>
    <w:p w14:paraId="6B019FC3" w14:textId="1847B061" w:rsidR="004F2656" w:rsidRDefault="00101A24" w:rsidP="003F4D85">
      <w:pPr>
        <w:ind w:left="360"/>
        <w:rPr>
          <w:i/>
          <w:iCs/>
        </w:rPr>
      </w:pPr>
      <w:r w:rsidRPr="003F4D85">
        <w:rPr>
          <w:i/>
          <w:iCs/>
        </w:rPr>
        <w:t xml:space="preserve">Provide three quotes from students </w:t>
      </w:r>
      <w:r w:rsidR="003E1BCB" w:rsidRPr="003F4D85">
        <w:rPr>
          <w:i/>
          <w:iCs/>
        </w:rPr>
        <w:t>evaluating their</w:t>
      </w:r>
      <w:r w:rsidRPr="003F4D85">
        <w:rPr>
          <w:i/>
          <w:iCs/>
        </w:rPr>
        <w:t xml:space="preserve"> </w:t>
      </w:r>
      <w:r w:rsidR="003E1BCB" w:rsidRPr="003F4D85">
        <w:rPr>
          <w:i/>
          <w:iCs/>
        </w:rPr>
        <w:t xml:space="preserve">experience with </w:t>
      </w:r>
      <w:r w:rsidRPr="003F4D85">
        <w:rPr>
          <w:i/>
          <w:iCs/>
        </w:rPr>
        <w:t xml:space="preserve">the </w:t>
      </w:r>
      <w:r w:rsidR="008E6CE7">
        <w:rPr>
          <w:i/>
          <w:iCs/>
        </w:rPr>
        <w:t>new</w:t>
      </w:r>
      <w:r w:rsidR="003E1BCB" w:rsidRPr="003F4D85">
        <w:rPr>
          <w:i/>
          <w:iCs/>
        </w:rPr>
        <w:t xml:space="preserve"> materials</w:t>
      </w:r>
      <w:r w:rsidRPr="003F4D85">
        <w:rPr>
          <w:i/>
          <w:iCs/>
        </w:rPr>
        <w:t>.</w:t>
      </w:r>
    </w:p>
    <w:p w14:paraId="11463DBA" w14:textId="30DA7D55" w:rsidR="00B244F8" w:rsidRPr="00F2591A" w:rsidRDefault="00B244F8" w:rsidP="00B244F8">
      <w:pPr>
        <w:rPr>
          <w:color w:val="7030A0"/>
        </w:rPr>
      </w:pPr>
      <w:r w:rsidRPr="00F2591A">
        <w:rPr>
          <w:color w:val="7030A0"/>
        </w:rPr>
        <w:t>Student quotes</w:t>
      </w:r>
      <w:r w:rsidR="006D3F48" w:rsidRPr="00F2591A">
        <w:rPr>
          <w:color w:val="7030A0"/>
        </w:rPr>
        <w:t xml:space="preserve"> provided by Dr</w:t>
      </w:r>
      <w:r w:rsidR="00F2591A">
        <w:rPr>
          <w:color w:val="7030A0"/>
        </w:rPr>
        <w:t>s</w:t>
      </w:r>
      <w:r w:rsidR="006D3F48" w:rsidRPr="00F2591A">
        <w:rPr>
          <w:color w:val="7030A0"/>
        </w:rPr>
        <w:t>. McKinnon</w:t>
      </w:r>
      <w:r w:rsidR="00F2591A">
        <w:rPr>
          <w:color w:val="7030A0"/>
        </w:rPr>
        <w:t xml:space="preserve"> and Elliott</w:t>
      </w:r>
      <w:r w:rsidR="006D3F48" w:rsidRPr="00F2591A">
        <w:rPr>
          <w:color w:val="7030A0"/>
        </w:rPr>
        <w:t>:</w:t>
      </w:r>
    </w:p>
    <w:p w14:paraId="371DFE45" w14:textId="2F6352C5" w:rsidR="00C8554E" w:rsidRDefault="006D3F48" w:rsidP="006D3F48">
      <w:pPr>
        <w:rPr>
          <w:color w:val="7030A0"/>
        </w:rPr>
      </w:pPr>
      <w:r w:rsidRPr="00F2591A">
        <w:rPr>
          <w:color w:val="7030A0"/>
        </w:rPr>
        <w:t>“</w:t>
      </w:r>
      <w:r w:rsidRPr="00F2591A">
        <w:rPr>
          <w:color w:val="7030A0"/>
        </w:rPr>
        <w:t>It was hard for me to play a colonial prison guard when I knew about the atrocities they had committed. Now I know more about how cruel people can be</w:t>
      </w:r>
      <w:r w:rsidR="00C8554E">
        <w:rPr>
          <w:color w:val="7030A0"/>
        </w:rPr>
        <w:t>.”</w:t>
      </w:r>
    </w:p>
    <w:p w14:paraId="7D29FE2C" w14:textId="7D801E79" w:rsidR="006D3F48" w:rsidRPr="00F2591A" w:rsidRDefault="00C8554E" w:rsidP="006D3F48">
      <w:pPr>
        <w:rPr>
          <w:color w:val="7030A0"/>
        </w:rPr>
      </w:pPr>
      <w:r>
        <w:rPr>
          <w:color w:val="7030A0"/>
        </w:rPr>
        <w:t>“</w:t>
      </w:r>
      <w:r w:rsidR="006D3F48" w:rsidRPr="00F2591A">
        <w:rPr>
          <w:color w:val="7030A0"/>
        </w:rPr>
        <w:t xml:space="preserve">I enjoyed playing my character (a Mau </w:t>
      </w:r>
      <w:proofErr w:type="spellStart"/>
      <w:r w:rsidR="006D3F48" w:rsidRPr="00F2591A">
        <w:rPr>
          <w:color w:val="7030A0"/>
        </w:rPr>
        <w:t>Mau</w:t>
      </w:r>
      <w:proofErr w:type="spellEnd"/>
      <w:r w:rsidR="006D3F48" w:rsidRPr="00F2591A">
        <w:rPr>
          <w:color w:val="7030A0"/>
        </w:rPr>
        <w:t xml:space="preserve"> rebel) because I thought I could win more in the game than people did at the time.</w:t>
      </w:r>
      <w:r w:rsidR="006D3F48" w:rsidRPr="00F2591A">
        <w:rPr>
          <w:color w:val="7030A0"/>
        </w:rPr>
        <w:t>”</w:t>
      </w:r>
      <w:r w:rsidR="006D3F48" w:rsidRPr="00F2591A">
        <w:rPr>
          <w:color w:val="7030A0"/>
        </w:rPr>
        <w:t xml:space="preserve"> </w:t>
      </w:r>
    </w:p>
    <w:p w14:paraId="71282C50" w14:textId="4906F53A" w:rsidR="006D3F48" w:rsidRDefault="006D3F48" w:rsidP="006D3F48">
      <w:pPr>
        <w:rPr>
          <w:color w:val="7030A0"/>
        </w:rPr>
      </w:pPr>
      <w:r w:rsidRPr="00F2591A">
        <w:rPr>
          <w:color w:val="7030A0"/>
        </w:rPr>
        <w:t>“</w:t>
      </w:r>
      <w:r w:rsidRPr="00F2591A">
        <w:rPr>
          <w:color w:val="7030A0"/>
        </w:rPr>
        <w:t xml:space="preserve">I never knew about the fact that the British hid their dirty secrets about colonialism until I played the Mau </w:t>
      </w:r>
      <w:proofErr w:type="spellStart"/>
      <w:r w:rsidRPr="00F2591A">
        <w:rPr>
          <w:color w:val="7030A0"/>
        </w:rPr>
        <w:t>Mau</w:t>
      </w:r>
      <w:proofErr w:type="spellEnd"/>
      <w:r w:rsidRPr="00F2591A">
        <w:rPr>
          <w:color w:val="7030A0"/>
        </w:rPr>
        <w:t xml:space="preserve"> simulation.</w:t>
      </w:r>
      <w:r w:rsidRPr="00F2591A">
        <w:rPr>
          <w:color w:val="7030A0"/>
        </w:rPr>
        <w:t>”</w:t>
      </w:r>
    </w:p>
    <w:p w14:paraId="2AFA999F" w14:textId="5707B6BF" w:rsidR="00F2591A" w:rsidRPr="00F2591A" w:rsidRDefault="00F2591A" w:rsidP="006D3F48">
      <w:pPr>
        <w:rPr>
          <w:color w:val="7030A0"/>
        </w:rPr>
      </w:pPr>
      <w:r>
        <w:rPr>
          <w:color w:val="7030A0"/>
        </w:rPr>
        <w:t>“</w:t>
      </w:r>
      <w:r w:rsidR="00C8554E">
        <w:rPr>
          <w:color w:val="7030A0"/>
        </w:rPr>
        <w:t xml:space="preserve">This course was so different because we started out creating a salon, and in the end our class became one. We listened to each other, supported each other, and learned from each other.” </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836CF8D" w14:textId="6186F85D" w:rsidR="0073273B" w:rsidRPr="00C45872" w:rsidRDefault="0033401E" w:rsidP="0064020F">
      <w:pPr>
        <w:pStyle w:val="Heading2"/>
      </w:pPr>
      <w:r>
        <w:t xml:space="preserve">Measures </w:t>
      </w:r>
      <w:r w:rsidR="0073273B" w:rsidRPr="00C45872">
        <w:t>Narrative</w:t>
      </w:r>
    </w:p>
    <w:p w14:paraId="1822ADDC" w14:textId="05749B41" w:rsidR="00070279" w:rsidRDefault="00F70B70" w:rsidP="00070279">
      <w:pPr>
        <w:ind w:left="720"/>
        <w:rPr>
          <w:i/>
        </w:rPr>
      </w:pPr>
      <w:r w:rsidRPr="0033401E">
        <w:rPr>
          <w:i/>
        </w:rPr>
        <w:t>In this section</w:t>
      </w:r>
      <w:r w:rsidR="00101A24" w:rsidRPr="0033401E">
        <w:rPr>
          <w:i/>
        </w:rPr>
        <w:t>, summarize</w:t>
      </w:r>
      <w:r w:rsidRPr="0033401E">
        <w:rPr>
          <w:i/>
        </w:rPr>
        <w:t xml:space="preserve"> </w:t>
      </w:r>
      <w:r w:rsidR="00101A24" w:rsidRPr="0033401E">
        <w:rPr>
          <w:i/>
        </w:rPr>
        <w:t xml:space="preserve">the supporting impact data that you are submitting, including </w:t>
      </w:r>
      <w:r w:rsidRPr="0033401E">
        <w:rPr>
          <w:i/>
        </w:rPr>
        <w:t xml:space="preserve">all quantitative and qualitative measures of impact on student success and experience. </w:t>
      </w:r>
    </w:p>
    <w:p w14:paraId="56D1DAB2" w14:textId="0F42FE4E" w:rsidR="00F70B70" w:rsidRPr="0073273B" w:rsidRDefault="00F70B70" w:rsidP="00070279">
      <w:pPr>
        <w:ind w:left="720"/>
        <w:rPr>
          <w:b/>
        </w:rPr>
      </w:pPr>
      <w:r w:rsidRPr="0073273B">
        <w:rPr>
          <w:i/>
        </w:rPr>
        <w:t>Include measures such as:</w:t>
      </w:r>
    </w:p>
    <w:p w14:paraId="4BBFBCA0" w14:textId="77777777" w:rsidR="00F70B70" w:rsidRPr="0073273B" w:rsidRDefault="00F70B70" w:rsidP="003F4D85">
      <w:pPr>
        <w:pStyle w:val="ListParagraph"/>
        <w:numPr>
          <w:ilvl w:val="1"/>
          <w:numId w:val="4"/>
        </w:numPr>
        <w:ind w:left="1800"/>
        <w:rPr>
          <w:b/>
        </w:rPr>
      </w:pPr>
      <w:r w:rsidRPr="0073273B">
        <w:rPr>
          <w:i/>
        </w:rPr>
        <w:t>Drop, fail, withdraw (DFW) delta rates</w:t>
      </w:r>
    </w:p>
    <w:p w14:paraId="15B4176D" w14:textId="77777777" w:rsidR="00F70B70" w:rsidRPr="004F2656" w:rsidRDefault="00F70B70" w:rsidP="003F4D85">
      <w:pPr>
        <w:pStyle w:val="ListParagraph"/>
        <w:numPr>
          <w:ilvl w:val="1"/>
          <w:numId w:val="4"/>
        </w:numPr>
        <w:ind w:left="1800"/>
        <w:rPr>
          <w:b/>
        </w:rPr>
      </w:pPr>
      <w:r w:rsidRPr="0073273B">
        <w:rPr>
          <w:i/>
        </w:rPr>
        <w:lastRenderedPageBreak/>
        <w:t xml:space="preserve">Course </w:t>
      </w:r>
      <w:r w:rsidRPr="004F2656">
        <w:rPr>
          <w:i/>
        </w:rPr>
        <w:t>retention and completion rates</w:t>
      </w:r>
    </w:p>
    <w:p w14:paraId="38F36725" w14:textId="77777777" w:rsidR="00F70B70" w:rsidRPr="004F2656" w:rsidRDefault="00F70B70" w:rsidP="003F4D85">
      <w:pPr>
        <w:pStyle w:val="ListParagraph"/>
        <w:numPr>
          <w:ilvl w:val="1"/>
          <w:numId w:val="4"/>
        </w:numPr>
        <w:ind w:left="1800"/>
        <w:rPr>
          <w:b/>
        </w:rPr>
      </w:pPr>
      <w:r w:rsidRPr="004F2656">
        <w:rPr>
          <w:i/>
        </w:rPr>
        <w:t>Average GPA</w:t>
      </w:r>
    </w:p>
    <w:p w14:paraId="3B48FE2A" w14:textId="7A4B52AB" w:rsidR="00101A24" w:rsidRPr="004F2656" w:rsidRDefault="00101A24" w:rsidP="003F4D85">
      <w:pPr>
        <w:pStyle w:val="ListParagraph"/>
        <w:numPr>
          <w:ilvl w:val="1"/>
          <w:numId w:val="4"/>
        </w:numPr>
        <w:ind w:left="1800"/>
        <w:rPr>
          <w:b/>
        </w:rPr>
      </w:pPr>
      <w:r w:rsidRPr="004F2656">
        <w:rPr>
          <w:i/>
        </w:rPr>
        <w:t>Pre-and post-transformation DFW comparison</w:t>
      </w:r>
    </w:p>
    <w:p w14:paraId="6CC8D945" w14:textId="77777777" w:rsidR="00F70B70" w:rsidRPr="004F2656" w:rsidRDefault="00F70B70" w:rsidP="003F4D85">
      <w:pPr>
        <w:pStyle w:val="ListParagraph"/>
        <w:numPr>
          <w:ilvl w:val="1"/>
          <w:numId w:val="4"/>
        </w:numPr>
        <w:ind w:left="1800"/>
        <w:rPr>
          <w:b/>
        </w:rPr>
      </w:pPr>
      <w:r w:rsidRPr="004F2656">
        <w:rPr>
          <w:i/>
        </w:rPr>
        <w:t>Student success in learning objectives</w:t>
      </w:r>
    </w:p>
    <w:p w14:paraId="34DD2962" w14:textId="77777777" w:rsidR="0073273B" w:rsidRPr="0073273B" w:rsidRDefault="00F70B70" w:rsidP="003F4D85">
      <w:pPr>
        <w:pStyle w:val="ListParagraph"/>
        <w:numPr>
          <w:ilvl w:val="1"/>
          <w:numId w:val="4"/>
        </w:numPr>
        <w:ind w:left="1800"/>
        <w:rPr>
          <w:b/>
        </w:rPr>
      </w:pPr>
      <w:r w:rsidRPr="0073273B">
        <w:rPr>
          <w:i/>
        </w:rPr>
        <w:t>Surveys, interviews, and other qualitative measures</w:t>
      </w:r>
      <w:r w:rsidR="0073273B">
        <w:rPr>
          <w:i/>
        </w:rPr>
        <w:t xml:space="preserve"> </w:t>
      </w:r>
    </w:p>
    <w:p w14:paraId="016842DB" w14:textId="3F6F9EE3" w:rsidR="0073273B" w:rsidRPr="0088651C" w:rsidRDefault="0073273B" w:rsidP="003F4D85">
      <w:pPr>
        <w:pStyle w:val="ListParagraph"/>
        <w:numPr>
          <w:ilvl w:val="0"/>
          <w:numId w:val="4"/>
        </w:numPr>
        <w:ind w:left="1440"/>
        <w:rPr>
          <w:b/>
        </w:rPr>
      </w:pPr>
      <w:r>
        <w:rPr>
          <w:i/>
        </w:rPr>
        <w:t>I</w:t>
      </w:r>
      <w:r w:rsidRPr="0073273B">
        <w:rPr>
          <w:i/>
        </w:rPr>
        <w:t>ndicate any co-factors that might have influenced the outcomes</w:t>
      </w:r>
      <w:r w:rsidR="00630263">
        <w:rPr>
          <w:i/>
        </w:rPr>
        <w:t>.</w:t>
      </w:r>
      <w:r w:rsidRPr="0073273B">
        <w:rPr>
          <w:i/>
        </w:rPr>
        <w:t xml:space="preserve">  </w:t>
      </w:r>
    </w:p>
    <w:p w14:paraId="02A38F8B" w14:textId="10D95307" w:rsidR="0088651C" w:rsidRPr="00F2591A" w:rsidRDefault="0088651C" w:rsidP="0088651C">
      <w:pPr>
        <w:rPr>
          <w:color w:val="7030A0"/>
        </w:rPr>
      </w:pPr>
      <w:r w:rsidRPr="00F2591A">
        <w:rPr>
          <w:bCs/>
          <w:color w:val="7030A0"/>
        </w:rPr>
        <w:t xml:space="preserve">Dr. McKinnon indicated that </w:t>
      </w:r>
      <w:r w:rsidRPr="00F2591A">
        <w:rPr>
          <w:color w:val="7030A0"/>
        </w:rPr>
        <w:t>s</w:t>
      </w:r>
      <w:r w:rsidRPr="00F2591A">
        <w:rPr>
          <w:color w:val="7030A0"/>
        </w:rPr>
        <w:t>tudents who selected final exam questions based on the mini-game topic (16/22 students) scored an average 10% higher on that question than the students who opted for a different exam question not based on the mini-game simulation. Overall, students appear to be more engaged in both reading the course materials -most are online or OERs- based on their ability to reflect on the content in applications of both class discussion and written exam responses than for course components that are not tied to the mini game.</w:t>
      </w:r>
    </w:p>
    <w:p w14:paraId="7C52E7C4" w14:textId="13923B33" w:rsidR="00F2591A" w:rsidRPr="00F2591A" w:rsidRDefault="00F2591A" w:rsidP="0088651C">
      <w:pPr>
        <w:rPr>
          <w:color w:val="7030A0"/>
        </w:rPr>
      </w:pPr>
    </w:p>
    <w:p w14:paraId="6BF5C3B4" w14:textId="2B2AA401" w:rsidR="00F2591A" w:rsidRPr="00F2591A" w:rsidRDefault="00F2591A" w:rsidP="0088651C">
      <w:pPr>
        <w:rPr>
          <w:color w:val="7030A0"/>
        </w:rPr>
      </w:pPr>
      <w:r>
        <w:rPr>
          <w:color w:val="7030A0"/>
        </w:rPr>
        <w:t xml:space="preserve">In the case of French Fairy Tales, enrollments increased each time the course was offered due to the engaging nature of the mini-game at the outset. Students felt committed to their authors, delved more deeply into their readings, and produced final projects with multiple forms of multi-media representation that were far more intricate, contextual, and time-consuming than a final paper. </w:t>
      </w:r>
      <w:r w:rsidR="00C8554E">
        <w:rPr>
          <w:color w:val="7030A0"/>
        </w:rPr>
        <w:t>The results were far superior in the quality and quantity of research applied to the projects.</w:t>
      </w:r>
    </w:p>
    <w:p w14:paraId="382F46A1" w14:textId="57C68742" w:rsidR="0088651C" w:rsidRPr="00F2591A" w:rsidRDefault="0088651C" w:rsidP="0088651C">
      <w:pPr>
        <w:rPr>
          <w:bCs/>
          <w:color w:val="7030A0"/>
        </w:rPr>
      </w:pPr>
    </w:p>
    <w:p w14:paraId="2107F97D" w14:textId="2FC17221" w:rsidR="00F70B70" w:rsidRPr="004F2656" w:rsidRDefault="00F70B70" w:rsidP="003F4D85">
      <w:pPr>
        <w:pStyle w:val="Heading1"/>
        <w:numPr>
          <w:ilvl w:val="0"/>
          <w:numId w:val="18"/>
        </w:numPr>
        <w:ind w:left="360"/>
      </w:pPr>
      <w:r w:rsidRPr="004F2656">
        <w:t>Sustainability Plan</w:t>
      </w:r>
    </w:p>
    <w:p w14:paraId="56F1272E" w14:textId="77777777" w:rsidR="00B244F8" w:rsidRDefault="00101A24" w:rsidP="003F4D85">
      <w:pPr>
        <w:ind w:left="360"/>
        <w:rPr>
          <w:i/>
        </w:rPr>
      </w:pPr>
      <w:r w:rsidRPr="003F4D85">
        <w:rPr>
          <w:i/>
        </w:rPr>
        <w:t>Describe</w:t>
      </w:r>
      <w:r w:rsidR="00F70B70" w:rsidRPr="003F4D85">
        <w:rPr>
          <w:i/>
        </w:rPr>
        <w:t xml:space="preserve"> how your project team</w:t>
      </w:r>
      <w:r w:rsidRPr="003F4D85">
        <w:rPr>
          <w:i/>
        </w:rPr>
        <w:t xml:space="preserve"> or department</w:t>
      </w:r>
      <w:r w:rsidR="00F70B70" w:rsidRPr="003F4D85">
        <w:rPr>
          <w:i/>
        </w:rPr>
        <w:t xml:space="preserve"> will offer the</w:t>
      </w:r>
      <w:r w:rsidR="0064020F">
        <w:rPr>
          <w:i/>
        </w:rPr>
        <w:t>se</w:t>
      </w:r>
      <w:r w:rsidR="00F70B70" w:rsidRPr="003F4D85">
        <w:rPr>
          <w:i/>
        </w:rPr>
        <w:t xml:space="preserve"> </w:t>
      </w:r>
      <w:r w:rsidR="00C66162" w:rsidRPr="003F4D85">
        <w:rPr>
          <w:i/>
        </w:rPr>
        <w:t xml:space="preserve">materials in the </w:t>
      </w:r>
      <w:r w:rsidR="00F70B70" w:rsidRPr="003F4D85">
        <w:rPr>
          <w:i/>
        </w:rPr>
        <w:t xml:space="preserve">course(s) in the future, including the maintenance and updating of </w:t>
      </w:r>
      <w:r w:rsidR="0064020F">
        <w:rPr>
          <w:i/>
        </w:rPr>
        <w:t>the</w:t>
      </w:r>
      <w:r w:rsidR="00F70B70" w:rsidRPr="003F4D85">
        <w:rPr>
          <w:i/>
        </w:rPr>
        <w:t xml:space="preserve"> materials.</w:t>
      </w:r>
    </w:p>
    <w:p w14:paraId="36C4BC5C" w14:textId="1969EF3C" w:rsidR="00B90CC8" w:rsidRDefault="00B244F8" w:rsidP="00B244F8">
      <w:pPr>
        <w:rPr>
          <w:iCs/>
          <w:color w:val="7030A0"/>
        </w:rPr>
      </w:pPr>
      <w:r>
        <w:rPr>
          <w:iCs/>
          <w:color w:val="7030A0"/>
        </w:rPr>
        <w:t>Our group met first as a team and then with our Center for Teaching and Learning partners to plan and implement a campus-wide workshop designed to introduce new faculty to the pedagogical advantages of the RTTP methodology and, additionally, to share the 3-day mini-game template we had compiled for them. Members of our team, who had already used their own mini-games, provided firsthand resources to attendees, sharing strategies and encouraging them to develop simple formats that inserted their topic and its objectives onto the template.</w:t>
      </w:r>
    </w:p>
    <w:p w14:paraId="100B97D5" w14:textId="0F6DEEF8" w:rsidR="00B244F8" w:rsidRDefault="00B244F8" w:rsidP="00B244F8">
      <w:pPr>
        <w:rPr>
          <w:iCs/>
          <w:color w:val="7030A0"/>
        </w:rPr>
      </w:pPr>
      <w:r>
        <w:rPr>
          <w:iCs/>
          <w:color w:val="7030A0"/>
        </w:rPr>
        <w:t>With the format for the workshop in place</w:t>
      </w:r>
      <w:r w:rsidR="006946AC">
        <w:rPr>
          <w:iCs/>
          <w:color w:val="7030A0"/>
        </w:rPr>
        <w:t xml:space="preserve"> (including flyer formats, media releases, agenda, other resources)</w:t>
      </w:r>
      <w:r>
        <w:rPr>
          <w:iCs/>
          <w:color w:val="7030A0"/>
        </w:rPr>
        <w:t>, similar half-day meetings will be easier to replicate in future semesters, thus expanding the potential number of users on an ongoing basis. The ongoing involvement of our Special Collections Librarian is also a benefit to this group since she is able to keep an eye on materials that might not otherwise come to the attention of the faculty.</w:t>
      </w:r>
    </w:p>
    <w:p w14:paraId="07756CAD" w14:textId="3ED6CE63" w:rsidR="006946AC" w:rsidRDefault="006946AC" w:rsidP="00B244F8">
      <w:pPr>
        <w:rPr>
          <w:iCs/>
          <w:color w:val="7030A0"/>
        </w:rPr>
      </w:pPr>
    </w:p>
    <w:p w14:paraId="51B885E1" w14:textId="1CDDC5E0" w:rsidR="006946AC" w:rsidRPr="006946AC" w:rsidRDefault="006946AC" w:rsidP="00B244F8">
      <w:pPr>
        <w:rPr>
          <w:iCs/>
          <w:color w:val="7030A0"/>
        </w:rPr>
      </w:pPr>
      <w:r>
        <w:rPr>
          <w:iCs/>
          <w:color w:val="7030A0"/>
        </w:rPr>
        <w:t xml:space="preserve">Early in the process, our team met with the new administrators for the Center for Transformative Experiences: Drs. Jordan </w:t>
      </w:r>
      <w:proofErr w:type="spellStart"/>
      <w:r>
        <w:rPr>
          <w:iCs/>
          <w:color w:val="7030A0"/>
        </w:rPr>
        <w:t>Cofer</w:t>
      </w:r>
      <w:proofErr w:type="spellEnd"/>
      <w:r>
        <w:rPr>
          <w:iCs/>
          <w:color w:val="7030A0"/>
        </w:rPr>
        <w:t xml:space="preserve">, Cynthia Alby, and Jim Berger. They have been involved in much of the planning of our workshops, development and implementation of mini-games, and the need to fund faculty participation at conferences to advance the understanding of </w:t>
      </w:r>
      <w:r>
        <w:rPr>
          <w:i/>
          <w:color w:val="7030A0"/>
        </w:rPr>
        <w:t xml:space="preserve">Reacting </w:t>
      </w:r>
      <w:r>
        <w:rPr>
          <w:iCs/>
          <w:color w:val="7030A0"/>
        </w:rPr>
        <w:t xml:space="preserve">techniques. Our group requested that a staff member of the CTL be designated as responsible for promotion of ongoing efforts to introduce the </w:t>
      </w:r>
      <w:r>
        <w:rPr>
          <w:i/>
          <w:color w:val="7030A0"/>
        </w:rPr>
        <w:t>Reacting</w:t>
      </w:r>
      <w:r>
        <w:rPr>
          <w:iCs/>
          <w:color w:val="7030A0"/>
        </w:rPr>
        <w:t xml:space="preserve"> pedagogy on our campus, and that a $500 to $750 annual stipend be allocated for interested faculty to attend the Winter Conference at UGA in Athens, GA.</w:t>
      </w:r>
    </w:p>
    <w:p w14:paraId="5D2930F4" w14:textId="4DE0702F" w:rsidR="00471C68" w:rsidRPr="004F2656" w:rsidRDefault="00471C68" w:rsidP="003F4D85">
      <w:pPr>
        <w:pStyle w:val="Heading1"/>
        <w:numPr>
          <w:ilvl w:val="0"/>
          <w:numId w:val="18"/>
        </w:numPr>
        <w:ind w:left="360"/>
      </w:pPr>
      <w:r w:rsidRPr="004F2656">
        <w:lastRenderedPageBreak/>
        <w:t xml:space="preserve">Future </w:t>
      </w:r>
      <w:r w:rsidR="00190A51">
        <w:t xml:space="preserve">Affordable Materials </w:t>
      </w:r>
      <w:r w:rsidRPr="004F2656">
        <w:t>Plans</w:t>
      </w:r>
    </w:p>
    <w:p w14:paraId="40F114A6" w14:textId="418C74A5" w:rsidR="00EE7C7E" w:rsidRDefault="00EE7C7E" w:rsidP="003F4D85">
      <w:pPr>
        <w:ind w:left="360"/>
        <w:rPr>
          <w:i/>
        </w:rPr>
      </w:pPr>
      <w:r w:rsidRPr="003F4D85">
        <w:rPr>
          <w:i/>
        </w:rPr>
        <w:t>Describe any impacts or influences this project has had on your thinking about or</w:t>
      </w:r>
      <w:r w:rsidR="00C66162" w:rsidRPr="003F4D85">
        <w:rPr>
          <w:i/>
        </w:rPr>
        <w:t xml:space="preserve"> </w:t>
      </w:r>
      <w:r w:rsidR="003E1BCB" w:rsidRPr="003F4D85">
        <w:rPr>
          <w:i/>
        </w:rPr>
        <w:t>selection of learning materials i</w:t>
      </w:r>
      <w:r w:rsidRPr="003F4D85">
        <w:rPr>
          <w:i/>
        </w:rPr>
        <w:t>n this and other courses that you will teach in the future.</w:t>
      </w:r>
    </w:p>
    <w:p w14:paraId="50D02C82" w14:textId="5E85F14E" w:rsidR="000240BC" w:rsidRDefault="00AF5457" w:rsidP="000240BC">
      <w:pPr>
        <w:rPr>
          <w:rFonts w:asciiTheme="minorHAnsi" w:hAnsiTheme="minorHAnsi" w:cstheme="minorHAnsi"/>
          <w:color w:val="7030A0"/>
        </w:rPr>
      </w:pPr>
      <w:r w:rsidRPr="006946AC">
        <w:rPr>
          <w:rFonts w:asciiTheme="minorHAnsi" w:hAnsiTheme="minorHAnsi" w:cstheme="minorHAnsi"/>
          <w:color w:val="7030A0"/>
        </w:rPr>
        <w:t xml:space="preserve">Several members of the team have expanded their use of existing games, have enhance their own mini-games, and have promoted interest in this pedagogy to other faculty. </w:t>
      </w:r>
      <w:r w:rsidR="000240BC" w:rsidRPr="006946AC">
        <w:rPr>
          <w:rFonts w:asciiTheme="minorHAnsi" w:hAnsiTheme="minorHAnsi" w:cstheme="minorHAnsi"/>
          <w:color w:val="7030A0"/>
        </w:rPr>
        <w:t>A</w:t>
      </w:r>
      <w:r w:rsidR="000240BC" w:rsidRPr="000240BC">
        <w:rPr>
          <w:rFonts w:asciiTheme="minorHAnsi" w:hAnsiTheme="minorHAnsi" w:cstheme="minorHAnsi"/>
          <w:color w:val="7030A0"/>
        </w:rPr>
        <w:t xml:space="preserve">s a result of the project, </w:t>
      </w:r>
      <w:r w:rsidR="000240BC" w:rsidRPr="006946AC">
        <w:rPr>
          <w:rFonts w:asciiTheme="minorHAnsi" w:hAnsiTheme="minorHAnsi" w:cstheme="minorHAnsi"/>
          <w:color w:val="7030A0"/>
        </w:rPr>
        <w:t>Dr. James Schiffman</w:t>
      </w:r>
      <w:r w:rsidR="000240BC" w:rsidRPr="000240BC">
        <w:rPr>
          <w:rFonts w:asciiTheme="minorHAnsi" w:hAnsiTheme="minorHAnsi" w:cstheme="minorHAnsi"/>
          <w:color w:val="7030A0"/>
        </w:rPr>
        <w:t xml:space="preserve"> developed an idea for an OER game that </w:t>
      </w:r>
      <w:r w:rsidR="000240BC" w:rsidRPr="006946AC">
        <w:rPr>
          <w:rFonts w:asciiTheme="minorHAnsi" w:hAnsiTheme="minorHAnsi" w:cstheme="minorHAnsi"/>
          <w:color w:val="7030A0"/>
        </w:rPr>
        <w:t>he will be</w:t>
      </w:r>
      <w:r w:rsidR="000240BC" w:rsidRPr="000240BC">
        <w:rPr>
          <w:rFonts w:asciiTheme="minorHAnsi" w:hAnsiTheme="minorHAnsi" w:cstheme="minorHAnsi"/>
          <w:color w:val="7030A0"/>
        </w:rPr>
        <w:t xml:space="preserve"> pursu</w:t>
      </w:r>
      <w:r w:rsidR="000240BC" w:rsidRPr="006946AC">
        <w:rPr>
          <w:rFonts w:asciiTheme="minorHAnsi" w:hAnsiTheme="minorHAnsi" w:cstheme="minorHAnsi"/>
          <w:color w:val="7030A0"/>
        </w:rPr>
        <w:t xml:space="preserve">ing </w:t>
      </w:r>
      <w:r w:rsidR="000240BC" w:rsidRPr="000240BC">
        <w:rPr>
          <w:rFonts w:asciiTheme="minorHAnsi" w:hAnsiTheme="minorHAnsi" w:cstheme="minorHAnsi"/>
          <w:color w:val="7030A0"/>
        </w:rPr>
        <w:t>and certainly would</w:t>
      </w:r>
      <w:r w:rsidR="00B975D4" w:rsidRPr="006946AC">
        <w:rPr>
          <w:rFonts w:asciiTheme="minorHAnsi" w:hAnsiTheme="minorHAnsi" w:cstheme="minorHAnsi"/>
          <w:color w:val="7030A0"/>
        </w:rPr>
        <w:t xml:space="preserve"> not</w:t>
      </w:r>
      <w:r w:rsidR="000240BC" w:rsidRPr="000240BC">
        <w:rPr>
          <w:rFonts w:asciiTheme="minorHAnsi" w:hAnsiTheme="minorHAnsi" w:cstheme="minorHAnsi"/>
          <w:color w:val="7030A0"/>
        </w:rPr>
        <w:t xml:space="preserve"> have </w:t>
      </w:r>
      <w:r w:rsidR="00B975D4" w:rsidRPr="006946AC">
        <w:rPr>
          <w:rFonts w:asciiTheme="minorHAnsi" w:hAnsiTheme="minorHAnsi" w:cstheme="minorHAnsi"/>
          <w:color w:val="7030A0"/>
        </w:rPr>
        <w:t>without</w:t>
      </w:r>
      <w:r w:rsidR="000240BC" w:rsidRPr="000240BC">
        <w:rPr>
          <w:rFonts w:asciiTheme="minorHAnsi" w:hAnsiTheme="minorHAnsi" w:cstheme="minorHAnsi"/>
          <w:color w:val="7030A0"/>
        </w:rPr>
        <w:t xml:space="preserve"> the grant and project.</w:t>
      </w:r>
    </w:p>
    <w:p w14:paraId="53871587" w14:textId="77777777" w:rsidR="00F2591A" w:rsidRPr="000240BC" w:rsidRDefault="00F2591A" w:rsidP="000240BC">
      <w:pPr>
        <w:rPr>
          <w:rFonts w:asciiTheme="minorHAnsi" w:hAnsiTheme="minorHAnsi" w:cstheme="minorHAnsi"/>
          <w:color w:val="7030A0"/>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5534E764" w:rsidR="00B90CC8" w:rsidRDefault="00EE7C7E" w:rsidP="003F4D85">
      <w:pPr>
        <w:ind w:left="360"/>
        <w:rPr>
          <w:i/>
        </w:rPr>
      </w:pPr>
      <w:r w:rsidRPr="003F4D85">
        <w:rPr>
          <w:i/>
        </w:rPr>
        <w:t>Describe any planned or actual papers, presentations, publications, or other professional activities that you expect to produce that reflect your work on this project.</w:t>
      </w:r>
    </w:p>
    <w:p w14:paraId="652319DC" w14:textId="77777777" w:rsidR="00F2591A" w:rsidRDefault="00F2591A" w:rsidP="00F2591A">
      <w:pPr>
        <w:rPr>
          <w:bCs/>
          <w:iCs/>
          <w:color w:val="7030A0"/>
        </w:rPr>
      </w:pPr>
    </w:p>
    <w:p w14:paraId="472C4D7F" w14:textId="77777777" w:rsidR="00F2591A" w:rsidRDefault="00F2591A" w:rsidP="00F2591A">
      <w:r w:rsidRPr="00F2591A">
        <w:rPr>
          <w:bCs/>
          <w:iCs/>
          <w:color w:val="7030A0"/>
        </w:rPr>
        <w:t>The use of the</w:t>
      </w:r>
      <w:r>
        <w:rPr>
          <w:bCs/>
          <w:iCs/>
          <w:color w:val="7030A0"/>
        </w:rPr>
        <w:t xml:space="preserve"> mini-game in the French Fairy Tales course has been documented and published as a book chapter, and includes a course syllabus, links to the OERs, and illustrations of final projects. </w:t>
      </w:r>
      <w:r>
        <w:rPr>
          <w:bCs/>
          <w:iCs/>
          <w:color w:val="7030A0"/>
        </w:rPr>
        <w:t xml:space="preserve">See </w:t>
      </w:r>
      <w:hyperlink r:id="rId17" w:history="1">
        <w:r>
          <w:rPr>
            <w:rStyle w:val="Hyperlink"/>
          </w:rPr>
          <w:t>https://boydellandbrewer.com/adapting-the-eighteenth-century.html</w:t>
        </w:r>
      </w:hyperlink>
    </w:p>
    <w:p w14:paraId="0E221907" w14:textId="09A5E94A" w:rsidR="00F2591A" w:rsidRPr="00F2591A" w:rsidRDefault="00F2591A" w:rsidP="00F2591A">
      <w:pPr>
        <w:rPr>
          <w:bCs/>
          <w:iCs/>
          <w:color w:val="7030A0"/>
        </w:rPr>
      </w:pPr>
    </w:p>
    <w:p w14:paraId="1CC27C77" w14:textId="77777777" w:rsidR="000240BC" w:rsidRPr="000240BC" w:rsidRDefault="000240BC" w:rsidP="000240BC">
      <w:pPr>
        <w:rPr>
          <w:b/>
          <w:iCs/>
        </w:rPr>
      </w:pPr>
    </w:p>
    <w:sectPr w:rsidR="000240BC" w:rsidRPr="000240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960706"/>
    <w:multiLevelType w:val="hybridMultilevel"/>
    <w:tmpl w:val="538A5A18"/>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0F5826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C02BC1"/>
    <w:multiLevelType w:val="multilevel"/>
    <w:tmpl w:val="6A34E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18"/>
  </w:num>
  <w:num w:numId="4">
    <w:abstractNumId w:val="14"/>
  </w:num>
  <w:num w:numId="5">
    <w:abstractNumId w:val="6"/>
  </w:num>
  <w:num w:numId="6">
    <w:abstractNumId w:val="7"/>
  </w:num>
  <w:num w:numId="7">
    <w:abstractNumId w:val="4"/>
  </w:num>
  <w:num w:numId="8">
    <w:abstractNumId w:val="8"/>
  </w:num>
  <w:num w:numId="9">
    <w:abstractNumId w:val="2"/>
  </w:num>
  <w:num w:numId="10">
    <w:abstractNumId w:val="12"/>
  </w:num>
  <w:num w:numId="11">
    <w:abstractNumId w:val="1"/>
  </w:num>
  <w:num w:numId="12">
    <w:abstractNumId w:val="13"/>
  </w:num>
  <w:num w:numId="13">
    <w:abstractNumId w:val="16"/>
  </w:num>
  <w:num w:numId="14">
    <w:abstractNumId w:val="11"/>
  </w:num>
  <w:num w:numId="15">
    <w:abstractNumId w:val="5"/>
  </w:num>
  <w:num w:numId="16">
    <w:abstractNumId w:val="19"/>
  </w:num>
  <w:num w:numId="17">
    <w:abstractNumId w:val="9"/>
  </w:num>
  <w:num w:numId="18">
    <w:abstractNumId w:val="20"/>
  </w:num>
  <w:num w:numId="19">
    <w:abstractNumId w:val="0"/>
  </w:num>
  <w:num w:numId="20">
    <w:abstractNumId w:val="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240BC"/>
    <w:rsid w:val="00044DF3"/>
    <w:rsid w:val="00070279"/>
    <w:rsid w:val="00071B22"/>
    <w:rsid w:val="00075E05"/>
    <w:rsid w:val="00082546"/>
    <w:rsid w:val="00101A24"/>
    <w:rsid w:val="00190A51"/>
    <w:rsid w:val="001A218C"/>
    <w:rsid w:val="001B2107"/>
    <w:rsid w:val="001D51FD"/>
    <w:rsid w:val="001E0EE3"/>
    <w:rsid w:val="001F4532"/>
    <w:rsid w:val="00220876"/>
    <w:rsid w:val="00240544"/>
    <w:rsid w:val="00256D9B"/>
    <w:rsid w:val="00285B86"/>
    <w:rsid w:val="003038A8"/>
    <w:rsid w:val="0033401E"/>
    <w:rsid w:val="00346044"/>
    <w:rsid w:val="003E1BCB"/>
    <w:rsid w:val="003F4D85"/>
    <w:rsid w:val="00471C68"/>
    <w:rsid w:val="0048459F"/>
    <w:rsid w:val="004F2656"/>
    <w:rsid w:val="005212A0"/>
    <w:rsid w:val="005C11E8"/>
    <w:rsid w:val="005D739F"/>
    <w:rsid w:val="00630263"/>
    <w:rsid w:val="0064020F"/>
    <w:rsid w:val="00684A25"/>
    <w:rsid w:val="00687254"/>
    <w:rsid w:val="006946AC"/>
    <w:rsid w:val="006A36A9"/>
    <w:rsid w:val="006B20F7"/>
    <w:rsid w:val="006D3F48"/>
    <w:rsid w:val="0073273B"/>
    <w:rsid w:val="00772C9F"/>
    <w:rsid w:val="00791F3F"/>
    <w:rsid w:val="007E159F"/>
    <w:rsid w:val="00811187"/>
    <w:rsid w:val="00871BC4"/>
    <w:rsid w:val="0088651C"/>
    <w:rsid w:val="008E38B4"/>
    <w:rsid w:val="008E6CE7"/>
    <w:rsid w:val="00945780"/>
    <w:rsid w:val="0097575D"/>
    <w:rsid w:val="00986704"/>
    <w:rsid w:val="00987DD6"/>
    <w:rsid w:val="00A06E45"/>
    <w:rsid w:val="00A24265"/>
    <w:rsid w:val="00A452EA"/>
    <w:rsid w:val="00AF4890"/>
    <w:rsid w:val="00AF5457"/>
    <w:rsid w:val="00B244F8"/>
    <w:rsid w:val="00B516BC"/>
    <w:rsid w:val="00B55BAB"/>
    <w:rsid w:val="00B90CC8"/>
    <w:rsid w:val="00B975D4"/>
    <w:rsid w:val="00BF3C8A"/>
    <w:rsid w:val="00C45872"/>
    <w:rsid w:val="00C56355"/>
    <w:rsid w:val="00C66162"/>
    <w:rsid w:val="00C749E5"/>
    <w:rsid w:val="00C807D1"/>
    <w:rsid w:val="00C80819"/>
    <w:rsid w:val="00C8554E"/>
    <w:rsid w:val="00C96BCC"/>
    <w:rsid w:val="00CB083C"/>
    <w:rsid w:val="00D11976"/>
    <w:rsid w:val="00DC2BFF"/>
    <w:rsid w:val="00DD3803"/>
    <w:rsid w:val="00DD5245"/>
    <w:rsid w:val="00DF79E1"/>
    <w:rsid w:val="00E167BE"/>
    <w:rsid w:val="00E34FAA"/>
    <w:rsid w:val="00EE35AB"/>
    <w:rsid w:val="00EE7C7E"/>
    <w:rsid w:val="00F2591A"/>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0B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340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customStyle="1" w:styleId="s1">
    <w:name w:val="s1"/>
    <w:basedOn w:val="DefaultParagraphFont"/>
    <w:rsid w:val="00A452EA"/>
  </w:style>
  <w:style w:type="character" w:customStyle="1" w:styleId="apple-converted-space">
    <w:name w:val="apple-converted-space"/>
    <w:basedOn w:val="DefaultParagraphFont"/>
    <w:rsid w:val="000240BC"/>
  </w:style>
  <w:style w:type="character" w:styleId="FollowedHyperlink">
    <w:name w:val="FollowedHyperlink"/>
    <w:basedOn w:val="DefaultParagraphFont"/>
    <w:uiPriority w:val="99"/>
    <w:semiHidden/>
    <w:unhideWhenUsed/>
    <w:rsid w:val="008E38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36394">
      <w:bodyDiv w:val="1"/>
      <w:marLeft w:val="0"/>
      <w:marRight w:val="0"/>
      <w:marTop w:val="0"/>
      <w:marBottom w:val="0"/>
      <w:divBdr>
        <w:top w:val="none" w:sz="0" w:space="0" w:color="auto"/>
        <w:left w:val="none" w:sz="0" w:space="0" w:color="auto"/>
        <w:bottom w:val="none" w:sz="0" w:space="0" w:color="auto"/>
        <w:right w:val="none" w:sz="0" w:space="0" w:color="auto"/>
      </w:divBdr>
    </w:div>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558129213">
      <w:bodyDiv w:val="1"/>
      <w:marLeft w:val="0"/>
      <w:marRight w:val="0"/>
      <w:marTop w:val="0"/>
      <w:marBottom w:val="0"/>
      <w:divBdr>
        <w:top w:val="none" w:sz="0" w:space="0" w:color="auto"/>
        <w:left w:val="none" w:sz="0" w:space="0" w:color="auto"/>
        <w:bottom w:val="none" w:sz="0" w:space="0" w:color="auto"/>
        <w:right w:val="none" w:sz="0" w:space="0" w:color="auto"/>
      </w:divBdr>
    </w:div>
    <w:div w:id="683552481">
      <w:bodyDiv w:val="1"/>
      <w:marLeft w:val="0"/>
      <w:marRight w:val="0"/>
      <w:marTop w:val="0"/>
      <w:marBottom w:val="0"/>
      <w:divBdr>
        <w:top w:val="none" w:sz="0" w:space="0" w:color="auto"/>
        <w:left w:val="none" w:sz="0" w:space="0" w:color="auto"/>
        <w:bottom w:val="none" w:sz="0" w:space="0" w:color="auto"/>
        <w:right w:val="none" w:sz="0" w:space="0" w:color="auto"/>
      </w:divBdr>
    </w:div>
    <w:div w:id="1322461243">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78476329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50315669">
      <w:bodyDiv w:val="1"/>
      <w:marLeft w:val="0"/>
      <w:marRight w:val="0"/>
      <w:marTop w:val="0"/>
      <w:marBottom w:val="0"/>
      <w:divBdr>
        <w:top w:val="none" w:sz="0" w:space="0" w:color="auto"/>
        <w:left w:val="none" w:sz="0" w:space="0" w:color="auto"/>
        <w:bottom w:val="none" w:sz="0" w:space="0" w:color="auto"/>
        <w:right w:val="none" w:sz="0" w:space="0" w:color="auto"/>
      </w:divBdr>
    </w:div>
    <w:div w:id="210529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hyperlink" Target="mailto:william.risch@gcsu.ed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rantley.nicholson@gcsu.edu" TargetMode="External"/><Relationship Id="rId17" Type="http://schemas.openxmlformats.org/officeDocument/2006/relationships/hyperlink" Target="https://boydellandbrewer.com/adapting-the-eighteenth-century.html" TargetMode="External"/><Relationship Id="rId2" Type="http://schemas.openxmlformats.org/officeDocument/2006/relationships/customXml" Target="../customXml/item2.xml"/><Relationship Id="rId16" Type="http://schemas.openxmlformats.org/officeDocument/2006/relationships/hyperlink" Target="mailto:Jaclyn.queen@gcsu.ed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an.mckinnon@gcsu.edu" TargetMode="External"/><Relationship Id="rId5" Type="http://schemas.openxmlformats.org/officeDocument/2006/relationships/styles" Target="styles.xml"/><Relationship Id="rId15" Type="http://schemas.openxmlformats.org/officeDocument/2006/relationships/hyperlink" Target="mailto:holly.croft@gcsu.edu" TargetMode="External"/><Relationship Id="rId10" Type="http://schemas.openxmlformats.org/officeDocument/2006/relationships/hyperlink" Target="mailto:peggy.elliott@gcsu.ed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mailto:elissa.auerbach@gcsu.edu" TargetMode="External"/><Relationship Id="rId14" Type="http://schemas.openxmlformats.org/officeDocument/2006/relationships/hyperlink" Target="mailto:james.schiffman@gc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1911</Words>
  <Characters>10899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Peggy Elliott</cp:lastModifiedBy>
  <cp:revision>9</cp:revision>
  <cp:lastPrinted>2020-06-05T15:11:00Z</cp:lastPrinted>
  <dcterms:created xsi:type="dcterms:W3CDTF">2020-06-05T15:12:00Z</dcterms:created>
  <dcterms:modified xsi:type="dcterms:W3CDTF">2020-06-10T18:59:00Z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