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w:t>
      </w:r>
      <w:proofErr w:type="gramStart"/>
      <w:r>
        <w:rPr>
          <w:i/>
          <w:iCs/>
        </w:rPr>
        <w:t>or</w:t>
      </w:r>
      <w:proofErr w:type="gramEnd"/>
      <w:r>
        <w:rPr>
          <w:i/>
          <w:iCs/>
        </w:rPr>
        <w:t xml:space="preserve"> Textbook Transformation Grants, if R17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1D667E7A" w:rsidR="00687254" w:rsidRDefault="00687254" w:rsidP="00687254">
      <w:pPr>
        <w:ind w:left="360"/>
        <w:rPr>
          <w:b/>
          <w:sz w:val="24"/>
          <w:szCs w:val="24"/>
        </w:rPr>
      </w:pPr>
      <w:r w:rsidRPr="004F2656">
        <w:rPr>
          <w:b/>
          <w:sz w:val="24"/>
          <w:szCs w:val="24"/>
        </w:rPr>
        <w:t>Date</w:t>
      </w:r>
      <w:r w:rsidR="003E1BCB" w:rsidRPr="004F2656">
        <w:rPr>
          <w:b/>
          <w:sz w:val="24"/>
          <w:szCs w:val="24"/>
        </w:rPr>
        <w:t>:</w:t>
      </w:r>
      <w:r w:rsidR="00BC3C2A">
        <w:rPr>
          <w:b/>
          <w:sz w:val="24"/>
          <w:szCs w:val="24"/>
        </w:rPr>
        <w:t xml:space="preserve">  May 3, 2022</w:t>
      </w:r>
    </w:p>
    <w:p w14:paraId="1CB2C16B" w14:textId="5954FABA" w:rsidR="0033401E" w:rsidRPr="004F2656" w:rsidRDefault="0033401E" w:rsidP="00687254">
      <w:pPr>
        <w:ind w:left="360"/>
        <w:rPr>
          <w:b/>
          <w:sz w:val="24"/>
          <w:szCs w:val="24"/>
        </w:rPr>
      </w:pPr>
      <w:r>
        <w:rPr>
          <w:b/>
          <w:sz w:val="24"/>
          <w:szCs w:val="24"/>
        </w:rPr>
        <w:t>Grant Round:</w:t>
      </w:r>
      <w:r w:rsidR="00BC3C2A">
        <w:rPr>
          <w:b/>
          <w:sz w:val="24"/>
          <w:szCs w:val="24"/>
        </w:rPr>
        <w:t xml:space="preserve"> 19</w:t>
      </w:r>
    </w:p>
    <w:p w14:paraId="41045492" w14:textId="02C51832"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BC3C2A">
        <w:rPr>
          <w:b/>
          <w:sz w:val="24"/>
          <w:szCs w:val="24"/>
        </w:rPr>
        <w:t xml:space="preserve"> 547</w:t>
      </w:r>
    </w:p>
    <w:p w14:paraId="65C4B013" w14:textId="04C82A13"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BC3C2A">
        <w:rPr>
          <w:b/>
          <w:sz w:val="24"/>
          <w:szCs w:val="24"/>
        </w:rPr>
        <w:t xml:space="preserve">  Georgia Southern University</w:t>
      </w:r>
    </w:p>
    <w:p w14:paraId="28FD8E6E" w14:textId="0295C650" w:rsidR="0033401E" w:rsidRPr="004F2656" w:rsidRDefault="0033401E" w:rsidP="0033401E">
      <w:pPr>
        <w:ind w:left="360"/>
        <w:rPr>
          <w:b/>
          <w:sz w:val="24"/>
          <w:szCs w:val="24"/>
        </w:rPr>
      </w:pPr>
      <w:r w:rsidRPr="004F2656">
        <w:rPr>
          <w:b/>
          <w:sz w:val="24"/>
          <w:szCs w:val="24"/>
        </w:rPr>
        <w:t>Project Lead:</w:t>
      </w:r>
      <w:r w:rsidR="009108DD">
        <w:rPr>
          <w:b/>
          <w:sz w:val="24"/>
          <w:szCs w:val="24"/>
        </w:rPr>
        <w:t xml:space="preserve">  Christine Whitlock</w:t>
      </w:r>
    </w:p>
    <w:p w14:paraId="6A7C5B5B" w14:textId="46E596BF" w:rsidR="00687254"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p>
    <w:p w14:paraId="111FA15E" w14:textId="49E2A51C" w:rsidR="009108DD" w:rsidRDefault="009108DD" w:rsidP="009108DD">
      <w:pPr>
        <w:ind w:left="360"/>
        <w:rPr>
          <w:b/>
          <w:sz w:val="24"/>
          <w:szCs w:val="24"/>
        </w:rPr>
      </w:pPr>
      <w:r>
        <w:rPr>
          <w:b/>
          <w:sz w:val="24"/>
          <w:szCs w:val="24"/>
        </w:rPr>
        <w:t xml:space="preserve">  Christine Whitlock, Professor, Dept of Chemistry &amp; Biochemistry,  </w:t>
      </w:r>
      <w:hyperlink r:id="rId9" w:history="1">
        <w:r w:rsidRPr="004B4845">
          <w:rPr>
            <w:rStyle w:val="Hyperlink"/>
            <w:b/>
            <w:sz w:val="24"/>
            <w:szCs w:val="24"/>
          </w:rPr>
          <w:t>cwhitlock@georgiasouthern.edu</w:t>
        </w:r>
      </w:hyperlink>
    </w:p>
    <w:p w14:paraId="24DA1375" w14:textId="29EFBDCD" w:rsidR="009108DD" w:rsidRPr="004F2656" w:rsidRDefault="009108DD" w:rsidP="009108DD">
      <w:pPr>
        <w:ind w:left="360"/>
        <w:rPr>
          <w:b/>
          <w:sz w:val="24"/>
          <w:szCs w:val="24"/>
        </w:rPr>
      </w:pPr>
      <w:r>
        <w:rPr>
          <w:b/>
          <w:sz w:val="24"/>
          <w:szCs w:val="24"/>
        </w:rPr>
        <w:t xml:space="preserve">   Dawn Cannon-</w:t>
      </w:r>
      <w:proofErr w:type="spellStart"/>
      <w:r>
        <w:rPr>
          <w:b/>
          <w:sz w:val="24"/>
          <w:szCs w:val="24"/>
        </w:rPr>
        <w:t>Rech</w:t>
      </w:r>
      <w:proofErr w:type="spellEnd"/>
      <w:r>
        <w:rPr>
          <w:b/>
          <w:sz w:val="24"/>
          <w:szCs w:val="24"/>
        </w:rPr>
        <w:t>, Assistant Professor, Library, dcannonrech@georgiasouthern.edu</w:t>
      </w:r>
    </w:p>
    <w:p w14:paraId="46A62745" w14:textId="4B3D138D" w:rsidR="00DF79E1" w:rsidRPr="004F2656" w:rsidRDefault="00DF79E1" w:rsidP="00E167BE">
      <w:pPr>
        <w:ind w:left="360"/>
        <w:rPr>
          <w:b/>
          <w:sz w:val="24"/>
          <w:szCs w:val="24"/>
        </w:rPr>
      </w:pPr>
      <w:r w:rsidRPr="004F2656">
        <w:rPr>
          <w:b/>
          <w:sz w:val="24"/>
          <w:szCs w:val="24"/>
        </w:rPr>
        <w:t>Course Name(s) and Course Numbers</w:t>
      </w:r>
      <w:r w:rsidR="003E1BCB" w:rsidRPr="004F2656">
        <w:rPr>
          <w:b/>
          <w:sz w:val="24"/>
          <w:szCs w:val="24"/>
        </w:rPr>
        <w:t>:</w:t>
      </w:r>
      <w:r w:rsidR="009108DD">
        <w:rPr>
          <w:b/>
          <w:sz w:val="24"/>
          <w:szCs w:val="24"/>
        </w:rPr>
        <w:t xml:space="preserve"> Principles of Drug Design (CHEM 5420/5420G)</w:t>
      </w:r>
    </w:p>
    <w:p w14:paraId="3E617D79" w14:textId="3F100C6F"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9108DD">
        <w:rPr>
          <w:b/>
          <w:sz w:val="24"/>
          <w:szCs w:val="24"/>
        </w:rPr>
        <w:t xml:space="preserve">  Spring 2021</w:t>
      </w:r>
    </w:p>
    <w:p w14:paraId="4D2A60B3" w14:textId="56EC9DCB"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9108DD">
        <w:rPr>
          <w:b/>
          <w:sz w:val="24"/>
          <w:szCs w:val="24"/>
        </w:rPr>
        <w:t xml:space="preserve">  Spring/Summer 2022</w:t>
      </w:r>
    </w:p>
    <w:p w14:paraId="6AA64C08" w14:textId="016FE9A2" w:rsidR="00DF79E1" w:rsidRPr="004F2656" w:rsidRDefault="00DF79E1" w:rsidP="00DF79E1">
      <w:pPr>
        <w:ind w:left="360"/>
        <w:rPr>
          <w:b/>
          <w:sz w:val="24"/>
          <w:szCs w:val="24"/>
        </w:rPr>
      </w:pPr>
      <w:r w:rsidRPr="004F2656">
        <w:rPr>
          <w:b/>
          <w:sz w:val="24"/>
          <w:szCs w:val="24"/>
        </w:rPr>
        <w:lastRenderedPageBreak/>
        <w:t>Total Number of Stud</w:t>
      </w:r>
      <w:r w:rsidR="0033401E">
        <w:rPr>
          <w:b/>
          <w:sz w:val="24"/>
          <w:szCs w:val="24"/>
        </w:rPr>
        <w:t>ents Affected During Project</w:t>
      </w:r>
      <w:r w:rsidR="003E1BCB" w:rsidRPr="004F2656">
        <w:rPr>
          <w:b/>
          <w:sz w:val="24"/>
          <w:szCs w:val="24"/>
        </w:rPr>
        <w:t>:</w:t>
      </w:r>
      <w:r w:rsidR="009108DD">
        <w:rPr>
          <w:b/>
          <w:sz w:val="24"/>
          <w:szCs w:val="24"/>
        </w:rPr>
        <w:t xml:space="preserve"> 71</w:t>
      </w: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3C54FA4F" w14:textId="32D39B8B" w:rsidR="00613044" w:rsidRPr="00613044" w:rsidRDefault="00613044" w:rsidP="00613044">
      <w:pPr>
        <w:rPr>
          <w:iCs/>
          <w:sz w:val="24"/>
          <w:szCs w:val="24"/>
        </w:rPr>
      </w:pPr>
      <w:r w:rsidRPr="00613044">
        <w:rPr>
          <w:iCs/>
          <w:sz w:val="24"/>
          <w:szCs w:val="24"/>
        </w:rPr>
        <w:t>A.</w:t>
      </w:r>
      <w:r>
        <w:rPr>
          <w:iCs/>
          <w:sz w:val="24"/>
          <w:szCs w:val="24"/>
        </w:rPr>
        <w:t xml:space="preserve"> </w:t>
      </w:r>
      <w:r w:rsidRPr="00613044">
        <w:rPr>
          <w:iCs/>
          <w:sz w:val="24"/>
          <w:szCs w:val="24"/>
        </w:rPr>
        <w:t xml:space="preserve">The key outcomes of our project were overall positive.  In all sections of </w:t>
      </w:r>
      <w:r>
        <w:rPr>
          <w:iCs/>
          <w:sz w:val="24"/>
          <w:szCs w:val="24"/>
        </w:rPr>
        <w:t>Principles of Drug Design</w:t>
      </w:r>
      <w:r w:rsidRPr="00613044">
        <w:rPr>
          <w:iCs/>
          <w:sz w:val="24"/>
          <w:szCs w:val="24"/>
        </w:rPr>
        <w:t xml:space="preserve"> (CHEM </w:t>
      </w:r>
      <w:r>
        <w:rPr>
          <w:iCs/>
          <w:sz w:val="24"/>
          <w:szCs w:val="24"/>
        </w:rPr>
        <w:t>5420/5420G</w:t>
      </w:r>
      <w:r w:rsidRPr="00613044">
        <w:rPr>
          <w:iCs/>
          <w:sz w:val="24"/>
          <w:szCs w:val="24"/>
        </w:rPr>
        <w:t xml:space="preserve">), </w:t>
      </w:r>
      <w:r>
        <w:rPr>
          <w:iCs/>
          <w:sz w:val="24"/>
          <w:szCs w:val="24"/>
        </w:rPr>
        <w:t>the</w:t>
      </w:r>
      <w:r w:rsidRPr="00613044">
        <w:rPr>
          <w:iCs/>
          <w:sz w:val="24"/>
          <w:szCs w:val="24"/>
        </w:rPr>
        <w:t xml:space="preserve"> traditional hard-copy textbook</w:t>
      </w:r>
      <w:r>
        <w:rPr>
          <w:iCs/>
          <w:sz w:val="24"/>
          <w:szCs w:val="24"/>
        </w:rPr>
        <w:t xml:space="preserve"> was switched</w:t>
      </w:r>
      <w:r w:rsidRPr="00613044">
        <w:rPr>
          <w:iCs/>
          <w:sz w:val="24"/>
          <w:szCs w:val="24"/>
        </w:rPr>
        <w:t xml:space="preserve"> to a free, open-source textbook.  All students had access to the book through our university’s learning management system.  </w:t>
      </w:r>
    </w:p>
    <w:p w14:paraId="23138B75" w14:textId="3E1F0EEF" w:rsidR="00613044" w:rsidRPr="000645CB" w:rsidRDefault="00613044" w:rsidP="000645CB">
      <w:pPr>
        <w:rPr>
          <w:iCs/>
          <w:sz w:val="24"/>
          <w:szCs w:val="24"/>
        </w:rPr>
      </w:pPr>
      <w:r w:rsidRPr="000645CB">
        <w:rPr>
          <w:iCs/>
          <w:sz w:val="24"/>
          <w:szCs w:val="24"/>
        </w:rPr>
        <w:t xml:space="preserve"> Results show that the students appreciated both the format and the lack of cost.  They found the hyperlinks to different topics useful.  </w:t>
      </w:r>
      <w:r w:rsidR="000645CB">
        <w:rPr>
          <w:iCs/>
          <w:sz w:val="24"/>
          <w:szCs w:val="24"/>
        </w:rPr>
        <w:t>Student performance remained neutral.</w:t>
      </w:r>
    </w:p>
    <w:p w14:paraId="7FB7AD9E" w14:textId="51FED791" w:rsidR="00492702" w:rsidRDefault="000645CB" w:rsidP="000645CB">
      <w:pPr>
        <w:rPr>
          <w:iCs/>
          <w:sz w:val="24"/>
          <w:szCs w:val="24"/>
        </w:rPr>
      </w:pPr>
      <w:r>
        <w:rPr>
          <w:iCs/>
          <w:sz w:val="24"/>
          <w:szCs w:val="24"/>
        </w:rPr>
        <w:t>B.  As seen in previous transformations, t</w:t>
      </w:r>
      <w:r w:rsidR="00613044" w:rsidRPr="000645CB">
        <w:rPr>
          <w:iCs/>
          <w:sz w:val="24"/>
          <w:szCs w:val="24"/>
        </w:rPr>
        <w:t>he primary lesson learned is that many (probably most) of our students will use the textbook only when necessary-regardless of the format.  They are comfortable with a digital format that includes hyperlinks, so they are more likely to use the free, online version than a hard-copy book.</w:t>
      </w:r>
    </w:p>
    <w:p w14:paraId="7B7B7417" w14:textId="38A0C924" w:rsidR="000645CB" w:rsidRDefault="008E0D01" w:rsidP="000645CB">
      <w:pPr>
        <w:rPr>
          <w:iCs/>
          <w:sz w:val="24"/>
          <w:szCs w:val="24"/>
        </w:rPr>
      </w:pPr>
      <w:r>
        <w:rPr>
          <w:iCs/>
          <w:sz w:val="24"/>
          <w:szCs w:val="24"/>
        </w:rPr>
        <w:t>Next time (Summer 2022), I will list the link for the online textbook in a more prominent place on the course’s learning management system.  It is currently listed within the syllabus.  In the future, I will make a separate textbook tab located near the top of the home page.</w:t>
      </w:r>
      <w:r w:rsidR="00613044" w:rsidRPr="000645CB">
        <w:rPr>
          <w:iCs/>
          <w:sz w:val="24"/>
          <w:szCs w:val="24"/>
        </w:rPr>
        <w:t xml:space="preserve">  </w:t>
      </w:r>
    </w:p>
    <w:p w14:paraId="0B514066" w14:textId="4C69FADF" w:rsidR="00492702" w:rsidRDefault="00492702" w:rsidP="000645CB">
      <w:pPr>
        <w:rPr>
          <w:iCs/>
          <w:sz w:val="24"/>
          <w:szCs w:val="24"/>
        </w:rPr>
      </w:pPr>
      <w:r>
        <w:rPr>
          <w:iCs/>
          <w:sz w:val="24"/>
          <w:szCs w:val="24"/>
        </w:rPr>
        <w:t>We also hired two undergraduate students to help with the analysis of the student survey.  This went well, but the students did not work nearly the allotted hours.  We simply did not have very many responses to the online surveys.</w:t>
      </w:r>
    </w:p>
    <w:p w14:paraId="6E7CF058" w14:textId="18CA1AF9" w:rsidR="00101A24" w:rsidRDefault="00101A24" w:rsidP="003F4D85">
      <w:pPr>
        <w:pStyle w:val="Heading1"/>
        <w:numPr>
          <w:ilvl w:val="0"/>
          <w:numId w:val="18"/>
        </w:numPr>
        <w:ind w:left="360"/>
      </w:pPr>
      <w:r w:rsidRPr="004F2656">
        <w:t>Quotes</w:t>
      </w:r>
    </w:p>
    <w:p w14:paraId="1C7993C2" w14:textId="77777777" w:rsidR="00492702" w:rsidRPr="00492702" w:rsidRDefault="00492702" w:rsidP="00492702"/>
    <w:p w14:paraId="0E9D4FBB" w14:textId="1CE2A565" w:rsidR="008E0D01" w:rsidRDefault="008E0D01" w:rsidP="008E0D01">
      <w:pPr>
        <w:spacing w:after="0" w:line="240" w:lineRule="auto"/>
        <w:ind w:left="360"/>
        <w:rPr>
          <w:rFonts w:eastAsia="Times New Roman" w:cstheme="minorHAnsi"/>
          <w:color w:val="000000"/>
          <w:sz w:val="24"/>
          <w:szCs w:val="24"/>
          <w:shd w:val="clear" w:color="auto" w:fill="FFFFFF"/>
        </w:rPr>
      </w:pPr>
      <w:r>
        <w:rPr>
          <w:rFonts w:eastAsia="Times New Roman" w:cstheme="minorHAnsi"/>
          <w:color w:val="000000"/>
          <w:sz w:val="24"/>
          <w:szCs w:val="24"/>
          <w:shd w:val="clear" w:color="auto" w:fill="FFFFFF"/>
        </w:rPr>
        <w:t>“</w:t>
      </w:r>
      <w:r w:rsidRPr="008E0D01">
        <w:rPr>
          <w:rFonts w:eastAsia="Times New Roman" w:cstheme="minorHAnsi"/>
          <w:color w:val="000000"/>
          <w:sz w:val="24"/>
          <w:szCs w:val="24"/>
          <w:shd w:val="clear" w:color="auto" w:fill="FFFFFF"/>
        </w:rPr>
        <w:t>The organization of the material (considering this was an online course) was well constructed and easy to follow to optimize learning.</w:t>
      </w:r>
      <w:r>
        <w:rPr>
          <w:rFonts w:eastAsia="Times New Roman" w:cstheme="minorHAnsi"/>
          <w:color w:val="000000"/>
          <w:sz w:val="24"/>
          <w:szCs w:val="24"/>
          <w:shd w:val="clear" w:color="auto" w:fill="FFFFFF"/>
        </w:rPr>
        <w:t>”</w:t>
      </w:r>
    </w:p>
    <w:p w14:paraId="167FC7F5" w14:textId="3F26BD7F" w:rsidR="008E0D01" w:rsidRDefault="008E0D01" w:rsidP="008E0D01">
      <w:pPr>
        <w:spacing w:after="0" w:line="240" w:lineRule="auto"/>
        <w:ind w:left="360"/>
        <w:rPr>
          <w:rFonts w:eastAsia="Times New Roman" w:cstheme="minorHAnsi"/>
          <w:color w:val="000000"/>
          <w:sz w:val="24"/>
          <w:szCs w:val="24"/>
          <w:shd w:val="clear" w:color="auto" w:fill="FFFFFF"/>
        </w:rPr>
      </w:pPr>
    </w:p>
    <w:p w14:paraId="4A2E2C23" w14:textId="52B600E8" w:rsidR="008E0D01" w:rsidRPr="008E0D01" w:rsidRDefault="008E0D01" w:rsidP="008E0D01">
      <w:pPr>
        <w:spacing w:after="0" w:line="240" w:lineRule="auto"/>
        <w:ind w:firstLine="360"/>
        <w:rPr>
          <w:rFonts w:eastAsia="Times New Roman" w:cstheme="minorHAnsi"/>
          <w:sz w:val="24"/>
          <w:szCs w:val="24"/>
        </w:rPr>
      </w:pPr>
      <w:r>
        <w:rPr>
          <w:rFonts w:eastAsia="Times New Roman" w:cstheme="minorHAnsi"/>
          <w:color w:val="000000"/>
          <w:sz w:val="24"/>
          <w:szCs w:val="24"/>
          <w:shd w:val="clear" w:color="auto" w:fill="FFFFFF"/>
        </w:rPr>
        <w:t>“</w:t>
      </w:r>
      <w:r w:rsidRPr="008E0D01">
        <w:rPr>
          <w:rFonts w:eastAsia="Times New Roman" w:cstheme="minorHAnsi"/>
          <w:color w:val="000000"/>
          <w:sz w:val="24"/>
          <w:szCs w:val="24"/>
          <w:shd w:val="clear" w:color="auto" w:fill="FFFFFF"/>
        </w:rPr>
        <w:t>The required reading and articles provided</w:t>
      </w:r>
      <w:r>
        <w:rPr>
          <w:rFonts w:eastAsia="Times New Roman" w:cstheme="minorHAnsi"/>
          <w:color w:val="000000"/>
          <w:sz w:val="24"/>
          <w:szCs w:val="24"/>
          <w:shd w:val="clear" w:color="auto" w:fill="FFFFFF"/>
        </w:rPr>
        <w:t xml:space="preserve"> (contributed to learning)</w:t>
      </w:r>
      <w:r w:rsidRPr="008E0D01">
        <w:rPr>
          <w:rFonts w:eastAsia="Times New Roman" w:cstheme="minorHAnsi"/>
          <w:color w:val="000000"/>
          <w:sz w:val="24"/>
          <w:szCs w:val="24"/>
          <w:shd w:val="clear" w:color="auto" w:fill="FFFFFF"/>
        </w:rPr>
        <w:t>.</w:t>
      </w:r>
      <w:r>
        <w:rPr>
          <w:rFonts w:eastAsia="Times New Roman" w:cstheme="minorHAnsi"/>
          <w:color w:val="000000"/>
          <w:sz w:val="24"/>
          <w:szCs w:val="24"/>
          <w:shd w:val="clear" w:color="auto" w:fill="FFFFFF"/>
        </w:rPr>
        <w:t>”</w:t>
      </w:r>
    </w:p>
    <w:p w14:paraId="4C409384" w14:textId="68602509" w:rsidR="008E0D01" w:rsidRPr="008E0D01" w:rsidRDefault="008E0D01" w:rsidP="008E0D01">
      <w:pPr>
        <w:spacing w:after="0" w:line="240" w:lineRule="auto"/>
        <w:ind w:left="360"/>
        <w:rPr>
          <w:rFonts w:eastAsia="Times New Roman" w:cstheme="minorHAnsi"/>
          <w:sz w:val="24"/>
          <w:szCs w:val="24"/>
        </w:rPr>
      </w:pPr>
    </w:p>
    <w:p w14:paraId="6B019FC3" w14:textId="3C0C6AF0" w:rsidR="004F2656" w:rsidRDefault="008E0D01" w:rsidP="008E0D01">
      <w:pPr>
        <w:spacing w:after="0" w:line="240" w:lineRule="auto"/>
        <w:ind w:firstLine="360"/>
        <w:rPr>
          <w:rFonts w:eastAsia="Times New Roman" w:cstheme="minorHAnsi"/>
          <w:sz w:val="24"/>
          <w:szCs w:val="24"/>
        </w:rPr>
      </w:pPr>
      <w:r>
        <w:rPr>
          <w:rFonts w:eastAsia="Times New Roman" w:cstheme="minorHAnsi"/>
          <w:color w:val="000000"/>
          <w:sz w:val="24"/>
          <w:szCs w:val="24"/>
          <w:shd w:val="clear" w:color="auto" w:fill="FFFFFF"/>
        </w:rPr>
        <w:t>“</w:t>
      </w:r>
      <w:r w:rsidRPr="008E0D01">
        <w:rPr>
          <w:rFonts w:eastAsia="Times New Roman" w:cstheme="minorHAnsi"/>
          <w:color w:val="000000"/>
          <w:sz w:val="24"/>
          <w:szCs w:val="24"/>
          <w:shd w:val="clear" w:color="auto" w:fill="FFFFFF"/>
        </w:rPr>
        <w:t>I don't think anything has to be changed</w:t>
      </w:r>
      <w:r>
        <w:rPr>
          <w:rFonts w:eastAsia="Times New Roman" w:cstheme="minorHAnsi"/>
          <w:color w:val="000000"/>
          <w:sz w:val="24"/>
          <w:szCs w:val="24"/>
          <w:shd w:val="clear" w:color="auto" w:fill="FFFFFF"/>
        </w:rPr>
        <w:t>”</w:t>
      </w:r>
    </w:p>
    <w:p w14:paraId="436F4970" w14:textId="77777777" w:rsidR="008E0D01" w:rsidRPr="008E0D01" w:rsidRDefault="008E0D01" w:rsidP="008E0D01">
      <w:pPr>
        <w:spacing w:after="0" w:line="240" w:lineRule="auto"/>
        <w:ind w:firstLine="360"/>
        <w:rPr>
          <w:rFonts w:eastAsia="Times New Roman" w:cstheme="minorHAnsi"/>
          <w:sz w:val="24"/>
          <w:szCs w:val="24"/>
        </w:rPr>
      </w:pP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lastRenderedPageBreak/>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616AC028"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____</w:t>
      </w:r>
      <w:r w:rsidR="00D33492">
        <w:rPr>
          <w:sz w:val="24"/>
          <w:szCs w:val="24"/>
        </w:rPr>
        <w:t>71</w:t>
      </w:r>
      <w:r w:rsidRPr="00684A25">
        <w:rPr>
          <w:sz w:val="24"/>
          <w:szCs w:val="24"/>
        </w:rPr>
        <w:t>______</w:t>
      </w:r>
    </w:p>
    <w:p w14:paraId="37FBFE79" w14:textId="260E6B48"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___</w:t>
      </w:r>
      <w:r w:rsidR="00D33492">
        <w:rPr>
          <w:sz w:val="24"/>
          <w:szCs w:val="24"/>
        </w:rPr>
        <w:t>93</w:t>
      </w:r>
      <w:r w:rsidRPr="001D51FD">
        <w:rPr>
          <w:sz w:val="24"/>
          <w:szCs w:val="24"/>
        </w:rPr>
        <w:t>____ % of __</w:t>
      </w:r>
      <w:r w:rsidR="00D33492">
        <w:rPr>
          <w:sz w:val="24"/>
          <w:szCs w:val="24"/>
        </w:rPr>
        <w:t>15</w:t>
      </w:r>
      <w:r w:rsidRPr="001D51FD">
        <w:rPr>
          <w:sz w:val="24"/>
          <w:szCs w:val="24"/>
        </w:rPr>
        <w:t xml:space="preserve">______ </w:t>
      </w:r>
      <w:r w:rsidR="001D51FD" w:rsidRPr="001D51FD">
        <w:rPr>
          <w:sz w:val="24"/>
          <w:szCs w:val="24"/>
        </w:rPr>
        <w:t xml:space="preserve">number of </w:t>
      </w:r>
      <w:r w:rsidRPr="001D51FD">
        <w:rPr>
          <w:sz w:val="24"/>
          <w:szCs w:val="24"/>
        </w:rPr>
        <w:t>respondents</w:t>
      </w:r>
    </w:p>
    <w:p w14:paraId="665A9B89" w14:textId="123676A3"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___</w:t>
      </w:r>
      <w:r w:rsidR="00D33492">
        <w:rPr>
          <w:sz w:val="24"/>
          <w:szCs w:val="24"/>
        </w:rPr>
        <w:t>7</w:t>
      </w:r>
      <w:r w:rsidR="001D51FD" w:rsidRPr="001D51FD">
        <w:rPr>
          <w:sz w:val="24"/>
          <w:szCs w:val="24"/>
        </w:rPr>
        <w:t>____ % of ___</w:t>
      </w:r>
      <w:r w:rsidR="00D33492">
        <w:rPr>
          <w:sz w:val="24"/>
          <w:szCs w:val="24"/>
        </w:rPr>
        <w:t>15</w:t>
      </w:r>
      <w:r w:rsidR="001D51FD" w:rsidRPr="001D51FD">
        <w:rPr>
          <w:sz w:val="24"/>
          <w:szCs w:val="24"/>
        </w:rPr>
        <w:t>_____ number of respondents</w:t>
      </w:r>
    </w:p>
    <w:p w14:paraId="4B4A604B" w14:textId="4E71F7A6" w:rsidR="00C45872" w:rsidRPr="00684A25"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___</w:t>
      </w:r>
      <w:r w:rsidR="00D33492">
        <w:rPr>
          <w:sz w:val="24"/>
          <w:szCs w:val="24"/>
        </w:rPr>
        <w:t>0</w:t>
      </w:r>
      <w:r w:rsidR="001D51FD" w:rsidRPr="00684A25">
        <w:rPr>
          <w:sz w:val="24"/>
          <w:szCs w:val="24"/>
        </w:rPr>
        <w:t>____ % of ___</w:t>
      </w:r>
      <w:r w:rsidR="00D33492">
        <w:rPr>
          <w:sz w:val="24"/>
          <w:szCs w:val="24"/>
        </w:rPr>
        <w:t>15</w:t>
      </w:r>
      <w:r w:rsidR="001D51FD" w:rsidRPr="00684A25">
        <w:rPr>
          <w:sz w:val="24"/>
          <w:szCs w:val="24"/>
        </w:rPr>
        <w:t>_____ number of respondents</w:t>
      </w:r>
      <w:r w:rsidR="00C45872" w:rsidRPr="00684A25">
        <w:rPr>
          <w:b/>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2C65203E" w:rsidR="00071B22" w:rsidRPr="00071B22" w:rsidRDefault="00071B22" w:rsidP="003F4D85">
      <w:pPr>
        <w:pStyle w:val="ListParagraph"/>
        <w:numPr>
          <w:ilvl w:val="0"/>
          <w:numId w:val="16"/>
        </w:numPr>
        <w:ind w:left="1800"/>
        <w:rPr>
          <w:sz w:val="24"/>
          <w:szCs w:val="24"/>
        </w:rPr>
      </w:pPr>
      <w:r>
        <w:rPr>
          <w:sz w:val="24"/>
          <w:szCs w:val="24"/>
        </w:rPr>
        <w:t>___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2BB029BD" w:rsidR="00071B22" w:rsidRPr="00071B22" w:rsidRDefault="00071B22" w:rsidP="003F4D85">
      <w:pPr>
        <w:pStyle w:val="ListParagraph"/>
        <w:numPr>
          <w:ilvl w:val="0"/>
          <w:numId w:val="16"/>
        </w:numPr>
        <w:ind w:left="1800"/>
        <w:rPr>
          <w:sz w:val="24"/>
          <w:szCs w:val="24"/>
        </w:rPr>
      </w:pPr>
      <w:r>
        <w:rPr>
          <w:sz w:val="24"/>
          <w:szCs w:val="24"/>
        </w:rPr>
        <w:t>_</w:t>
      </w:r>
      <w:r w:rsidR="003E606E">
        <w:rPr>
          <w:sz w:val="24"/>
          <w:szCs w:val="24"/>
        </w:rPr>
        <w:t>x</w:t>
      </w:r>
      <w:r>
        <w:rPr>
          <w:sz w:val="24"/>
          <w:szCs w:val="24"/>
        </w:rPr>
        <w:t>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7B8ED5DF" w:rsidR="001E0EE3" w:rsidRPr="001E0EE3" w:rsidRDefault="001E0EE3" w:rsidP="003F4D85">
      <w:pPr>
        <w:ind w:left="1080"/>
        <w:rPr>
          <w:sz w:val="24"/>
          <w:szCs w:val="24"/>
        </w:rPr>
      </w:pPr>
      <w:r w:rsidRPr="001E0EE3">
        <w:rPr>
          <w:sz w:val="24"/>
          <w:szCs w:val="24"/>
        </w:rPr>
        <w:t>____</w:t>
      </w:r>
      <w:r w:rsidR="00596646">
        <w:rPr>
          <w:sz w:val="24"/>
          <w:szCs w:val="24"/>
        </w:rPr>
        <w:t>0</w:t>
      </w:r>
      <w:r w:rsidRPr="001E0EE3">
        <w:rPr>
          <w:sz w:val="24"/>
          <w:szCs w:val="24"/>
        </w:rPr>
        <w:t>___% of students, out of a total ___</w:t>
      </w:r>
      <w:r w:rsidR="00596646">
        <w:rPr>
          <w:sz w:val="24"/>
          <w:szCs w:val="24"/>
        </w:rPr>
        <w:t>30</w:t>
      </w:r>
      <w:r w:rsidRPr="001E0EE3">
        <w:rPr>
          <w:sz w:val="24"/>
          <w:szCs w:val="24"/>
        </w:rPr>
        <w:t xml:space="preserve">____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31AFBEF4" w:rsidR="00071B22" w:rsidRPr="00071B22" w:rsidRDefault="001E0EE3" w:rsidP="003F4D85">
      <w:pPr>
        <w:pStyle w:val="ListParagraph"/>
        <w:numPr>
          <w:ilvl w:val="0"/>
          <w:numId w:val="15"/>
        </w:numPr>
        <w:ind w:left="1800"/>
        <w:rPr>
          <w:sz w:val="24"/>
          <w:szCs w:val="24"/>
        </w:rPr>
      </w:pPr>
      <w:r>
        <w:rPr>
          <w:sz w:val="24"/>
          <w:szCs w:val="24"/>
        </w:rPr>
        <w:t>__</w:t>
      </w:r>
      <w:r w:rsidR="00596646">
        <w:rPr>
          <w:sz w:val="24"/>
          <w:szCs w:val="24"/>
        </w:rPr>
        <w:t>x</w:t>
      </w:r>
      <w:r>
        <w:rPr>
          <w:sz w:val="24"/>
          <w:szCs w:val="24"/>
        </w:rPr>
        <w:t>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7DF9A4E" w:rsidR="00071B22" w:rsidRPr="00071B22" w:rsidRDefault="00071B22" w:rsidP="003F4D85">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6941EFA" w14:textId="0D7D8099" w:rsidR="00596646" w:rsidRDefault="00596646" w:rsidP="00596646">
      <w:pPr>
        <w:pStyle w:val="Heading1"/>
        <w:ind w:left="360"/>
        <w:rPr>
          <w:rFonts w:asciiTheme="minorHAnsi" w:hAnsiTheme="minorHAnsi" w:cstheme="minorHAnsi"/>
          <w:color w:val="000000" w:themeColor="text1"/>
          <w:sz w:val="24"/>
          <w:szCs w:val="24"/>
        </w:rPr>
      </w:pPr>
      <w:r w:rsidRPr="00596646">
        <w:rPr>
          <w:rFonts w:asciiTheme="minorHAnsi" w:hAnsiTheme="minorHAnsi" w:cstheme="minorHAnsi"/>
          <w:color w:val="000000" w:themeColor="text1"/>
          <w:sz w:val="24"/>
          <w:szCs w:val="24"/>
        </w:rPr>
        <w:t>As established in our proposal, impact data was collected mainly as pre- and post- course surveys of students. Results from the Summer 2021 (blue) and Fall 2021 (green) student post-surveys (n = 8 and 13, respectively) showed that the students appreciated both the format and the lack of cost.  They found the hyperlinks to different topics useful.  Nearly 89% of the students agreed or strongly agreed that the textbook was a good value.  They are comfortable with a digital format.</w:t>
      </w:r>
    </w:p>
    <w:p w14:paraId="22BB313F" w14:textId="025CF231" w:rsidR="00596646" w:rsidRDefault="00596646" w:rsidP="00596646"/>
    <w:p w14:paraId="716944B1" w14:textId="77777777" w:rsidR="00596646" w:rsidRPr="00596646" w:rsidRDefault="00596646" w:rsidP="00596646">
      <w:pPr>
        <w:pStyle w:val="Heading1"/>
        <w:ind w:left="360"/>
        <w:rPr>
          <w:rFonts w:asciiTheme="minorHAnsi" w:hAnsiTheme="minorHAnsi" w:cstheme="minorHAnsi"/>
          <w:color w:val="000000" w:themeColor="text1"/>
          <w:sz w:val="24"/>
          <w:szCs w:val="24"/>
        </w:rPr>
      </w:pPr>
      <w:r w:rsidRPr="00596646">
        <w:rPr>
          <w:rFonts w:asciiTheme="minorHAnsi" w:hAnsiTheme="minorHAnsi" w:cstheme="minorHAnsi"/>
          <w:color w:val="000000" w:themeColor="text1"/>
          <w:sz w:val="24"/>
          <w:szCs w:val="24"/>
        </w:rPr>
        <w:lastRenderedPageBreak/>
        <w:t>In response to the question about the ability to “access course materials,” 95% of the respondents were positive.</w:t>
      </w:r>
    </w:p>
    <w:p w14:paraId="42C3ED09" w14:textId="77777777" w:rsidR="00596646" w:rsidRPr="00596646" w:rsidRDefault="00596646" w:rsidP="00596646"/>
    <w:p w14:paraId="5B651744" w14:textId="63168636" w:rsidR="00596646" w:rsidRDefault="00596646" w:rsidP="00596646">
      <w:r w:rsidRPr="00596646">
        <w:rPr>
          <w:noProof/>
        </w:rPr>
        <w:drawing>
          <wp:inline distT="0" distB="0" distL="0" distR="0" wp14:anchorId="4C6DDCBA" wp14:editId="7DB96E6D">
            <wp:extent cx="5943600" cy="2808605"/>
            <wp:effectExtent l="0" t="0" r="0" b="0"/>
            <wp:docPr id="28" name="Picture 27" descr="A picture containing chart&#10;&#10;Description automatically generated">
              <a:extLst xmlns:a="http://schemas.openxmlformats.org/drawingml/2006/main">
                <a:ext uri="{FF2B5EF4-FFF2-40B4-BE49-F238E27FC236}">
                  <a16:creationId xmlns:a16="http://schemas.microsoft.com/office/drawing/2014/main" id="{317A47C3-47B1-1245-9566-DD6B71C8667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7" descr="A picture containing chart&#10;&#10;Description automatically generated">
                      <a:extLst>
                        <a:ext uri="{FF2B5EF4-FFF2-40B4-BE49-F238E27FC236}">
                          <a16:creationId xmlns:a16="http://schemas.microsoft.com/office/drawing/2014/main" id="{317A47C3-47B1-1245-9566-DD6B71C86678}"/>
                        </a:ext>
                      </a:extLst>
                    </pic:cNvPr>
                    <pic:cNvPicPr>
                      <a:picLocks noChangeAspect="1"/>
                    </pic:cNvPicPr>
                  </pic:nvPicPr>
                  <pic:blipFill>
                    <a:blip r:embed="rId10"/>
                    <a:stretch>
                      <a:fillRect/>
                    </a:stretch>
                  </pic:blipFill>
                  <pic:spPr>
                    <a:xfrm>
                      <a:off x="0" y="0"/>
                      <a:ext cx="5943600" cy="2808605"/>
                    </a:xfrm>
                    <a:prstGeom prst="rect">
                      <a:avLst/>
                    </a:prstGeom>
                  </pic:spPr>
                </pic:pic>
              </a:graphicData>
            </a:graphic>
          </wp:inline>
        </w:drawing>
      </w:r>
    </w:p>
    <w:p w14:paraId="7227A393" w14:textId="6B2C72E2" w:rsidR="00596646" w:rsidRPr="00596646" w:rsidRDefault="00596646" w:rsidP="00596646">
      <w:r w:rsidRPr="00596646">
        <w:rPr>
          <w:noProof/>
        </w:rPr>
        <w:drawing>
          <wp:inline distT="0" distB="0" distL="0" distR="0" wp14:anchorId="23402923" wp14:editId="039ACED3">
            <wp:extent cx="5943600" cy="2797175"/>
            <wp:effectExtent l="0" t="0" r="0" b="0"/>
            <wp:docPr id="26" name="Picture 25" descr="A picture containing chart&#10;&#10;Description automatically generated">
              <a:extLst xmlns:a="http://schemas.openxmlformats.org/drawingml/2006/main">
                <a:ext uri="{FF2B5EF4-FFF2-40B4-BE49-F238E27FC236}">
                  <a16:creationId xmlns:a16="http://schemas.microsoft.com/office/drawing/2014/main" id="{EFBF20D7-3FF1-8C48-AF9E-30C997874B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5" descr="A picture containing chart&#10;&#10;Description automatically generated">
                      <a:extLst>
                        <a:ext uri="{FF2B5EF4-FFF2-40B4-BE49-F238E27FC236}">
                          <a16:creationId xmlns:a16="http://schemas.microsoft.com/office/drawing/2014/main" id="{EFBF20D7-3FF1-8C48-AF9E-30C997874B57}"/>
                        </a:ext>
                      </a:extLst>
                    </pic:cNvPr>
                    <pic:cNvPicPr>
                      <a:picLocks noChangeAspect="1"/>
                    </pic:cNvPicPr>
                  </pic:nvPicPr>
                  <pic:blipFill>
                    <a:blip r:embed="rId11"/>
                    <a:stretch>
                      <a:fillRect/>
                    </a:stretch>
                  </pic:blipFill>
                  <pic:spPr>
                    <a:xfrm>
                      <a:off x="0" y="0"/>
                      <a:ext cx="5943600" cy="2797175"/>
                    </a:xfrm>
                    <a:prstGeom prst="rect">
                      <a:avLst/>
                    </a:prstGeom>
                  </pic:spPr>
                </pic:pic>
              </a:graphicData>
            </a:graphic>
          </wp:inline>
        </w:drawing>
      </w:r>
    </w:p>
    <w:p w14:paraId="3EBB3528" w14:textId="6E7D23A6" w:rsidR="00596646" w:rsidRDefault="00596646" w:rsidP="00596646">
      <w:pPr>
        <w:pStyle w:val="Heading1"/>
        <w:ind w:left="360"/>
        <w:rPr>
          <w:rFonts w:asciiTheme="minorHAnsi" w:hAnsiTheme="minorHAnsi" w:cstheme="minorHAnsi"/>
          <w:color w:val="000000" w:themeColor="text1"/>
          <w:sz w:val="24"/>
          <w:szCs w:val="24"/>
        </w:rPr>
      </w:pPr>
      <w:r w:rsidRPr="00596646">
        <w:rPr>
          <w:rFonts w:asciiTheme="minorHAnsi" w:hAnsiTheme="minorHAnsi" w:cstheme="minorHAnsi"/>
          <w:color w:val="000000" w:themeColor="text1"/>
          <w:sz w:val="24"/>
          <w:szCs w:val="24"/>
        </w:rPr>
        <w:lastRenderedPageBreak/>
        <w:t>In response to the question about “current content,” 90% of the respondents were positive.</w:t>
      </w:r>
    </w:p>
    <w:p w14:paraId="51CD8021" w14:textId="3B17BA4B" w:rsidR="00596646" w:rsidRDefault="00596646" w:rsidP="00596646">
      <w:r w:rsidRPr="00596646">
        <w:rPr>
          <w:noProof/>
        </w:rPr>
        <w:drawing>
          <wp:inline distT="0" distB="0" distL="0" distR="0" wp14:anchorId="148B9917" wp14:editId="20ECC011">
            <wp:extent cx="5943600" cy="2811780"/>
            <wp:effectExtent l="0" t="0" r="0" b="0"/>
            <wp:docPr id="27" name="Picture 26" descr="Chart, bar chart&#10;&#10;Description automatically generated">
              <a:extLst xmlns:a="http://schemas.openxmlformats.org/drawingml/2006/main">
                <a:ext uri="{FF2B5EF4-FFF2-40B4-BE49-F238E27FC236}">
                  <a16:creationId xmlns:a16="http://schemas.microsoft.com/office/drawing/2014/main" id="{47B6A2E1-85BF-8D47-957E-13206216BF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6" descr="Chart, bar chart&#10;&#10;Description automatically generated">
                      <a:extLst>
                        <a:ext uri="{FF2B5EF4-FFF2-40B4-BE49-F238E27FC236}">
                          <a16:creationId xmlns:a16="http://schemas.microsoft.com/office/drawing/2014/main" id="{47B6A2E1-85BF-8D47-957E-13206216BF79}"/>
                        </a:ext>
                      </a:extLst>
                    </pic:cNvPr>
                    <pic:cNvPicPr>
                      <a:picLocks noChangeAspect="1"/>
                    </pic:cNvPicPr>
                  </pic:nvPicPr>
                  <pic:blipFill>
                    <a:blip r:embed="rId12"/>
                    <a:stretch>
                      <a:fillRect/>
                    </a:stretch>
                  </pic:blipFill>
                  <pic:spPr>
                    <a:xfrm>
                      <a:off x="0" y="0"/>
                      <a:ext cx="5943600" cy="2811780"/>
                    </a:xfrm>
                    <a:prstGeom prst="rect">
                      <a:avLst/>
                    </a:prstGeom>
                  </pic:spPr>
                </pic:pic>
              </a:graphicData>
            </a:graphic>
          </wp:inline>
        </w:drawing>
      </w:r>
    </w:p>
    <w:p w14:paraId="1852A2B8" w14:textId="49A56AC8" w:rsidR="00596646" w:rsidRPr="00596646" w:rsidRDefault="00596646" w:rsidP="00596646">
      <w:r w:rsidRPr="00596646">
        <w:rPr>
          <w:noProof/>
        </w:rPr>
        <w:drawing>
          <wp:inline distT="0" distB="0" distL="0" distR="0" wp14:anchorId="69FE61E8" wp14:editId="56CCFA81">
            <wp:extent cx="5943600" cy="2753995"/>
            <wp:effectExtent l="0" t="0" r="0" b="1905"/>
            <wp:docPr id="24" name="Picture 23" descr="Chart&#10;&#10;Description automatically generated">
              <a:extLst xmlns:a="http://schemas.openxmlformats.org/drawingml/2006/main">
                <a:ext uri="{FF2B5EF4-FFF2-40B4-BE49-F238E27FC236}">
                  <a16:creationId xmlns:a16="http://schemas.microsoft.com/office/drawing/2014/main" id="{304209A0-9F6E-2043-96EB-56D34D01B24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3" descr="Chart&#10;&#10;Description automatically generated">
                      <a:extLst>
                        <a:ext uri="{FF2B5EF4-FFF2-40B4-BE49-F238E27FC236}">
                          <a16:creationId xmlns:a16="http://schemas.microsoft.com/office/drawing/2014/main" id="{304209A0-9F6E-2043-96EB-56D34D01B247}"/>
                        </a:ext>
                      </a:extLst>
                    </pic:cNvPr>
                    <pic:cNvPicPr>
                      <a:picLocks noChangeAspect="1"/>
                    </pic:cNvPicPr>
                  </pic:nvPicPr>
                  <pic:blipFill>
                    <a:blip r:embed="rId13"/>
                    <a:stretch>
                      <a:fillRect/>
                    </a:stretch>
                  </pic:blipFill>
                  <pic:spPr>
                    <a:xfrm>
                      <a:off x="0" y="0"/>
                      <a:ext cx="5943600" cy="2753995"/>
                    </a:xfrm>
                    <a:prstGeom prst="rect">
                      <a:avLst/>
                    </a:prstGeom>
                  </pic:spPr>
                </pic:pic>
              </a:graphicData>
            </a:graphic>
          </wp:inline>
        </w:drawing>
      </w:r>
    </w:p>
    <w:p w14:paraId="2EF313C1" w14:textId="671ADEBF" w:rsidR="00596646" w:rsidRDefault="00596646" w:rsidP="00596646">
      <w:pPr>
        <w:pStyle w:val="Heading1"/>
        <w:ind w:left="360"/>
        <w:rPr>
          <w:rFonts w:asciiTheme="minorHAnsi" w:hAnsiTheme="minorHAnsi" w:cstheme="minorHAnsi"/>
          <w:color w:val="000000" w:themeColor="text1"/>
          <w:sz w:val="24"/>
          <w:szCs w:val="24"/>
        </w:rPr>
      </w:pPr>
      <w:r w:rsidRPr="00596646">
        <w:rPr>
          <w:rFonts w:asciiTheme="minorHAnsi" w:hAnsiTheme="minorHAnsi" w:cstheme="minorHAnsi"/>
          <w:color w:val="000000" w:themeColor="text1"/>
          <w:sz w:val="24"/>
          <w:szCs w:val="24"/>
        </w:rPr>
        <w:lastRenderedPageBreak/>
        <w:t xml:space="preserve">In response to the question about “good value,” 89% of the respondents were positive. </w:t>
      </w:r>
    </w:p>
    <w:p w14:paraId="0CE029B8" w14:textId="6D23A422" w:rsidR="00596646" w:rsidRDefault="00596646" w:rsidP="00596646">
      <w:r w:rsidRPr="00596646">
        <w:rPr>
          <w:noProof/>
        </w:rPr>
        <w:drawing>
          <wp:inline distT="0" distB="0" distL="0" distR="0" wp14:anchorId="367781DB" wp14:editId="5F7017F8">
            <wp:extent cx="5943600" cy="2764155"/>
            <wp:effectExtent l="0" t="0" r="0" b="4445"/>
            <wp:docPr id="23" name="Picture 22" descr="A picture containing chart&#10;&#10;Description automatically generated">
              <a:extLst xmlns:a="http://schemas.openxmlformats.org/drawingml/2006/main">
                <a:ext uri="{FF2B5EF4-FFF2-40B4-BE49-F238E27FC236}">
                  <a16:creationId xmlns:a16="http://schemas.microsoft.com/office/drawing/2014/main" id="{6BF94D91-F2E5-D740-86A5-FA14D05D14E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2" descr="A picture containing chart&#10;&#10;Description automatically generated">
                      <a:extLst>
                        <a:ext uri="{FF2B5EF4-FFF2-40B4-BE49-F238E27FC236}">
                          <a16:creationId xmlns:a16="http://schemas.microsoft.com/office/drawing/2014/main" id="{6BF94D91-F2E5-D740-86A5-FA14D05D14EB}"/>
                        </a:ext>
                      </a:extLst>
                    </pic:cNvPr>
                    <pic:cNvPicPr>
                      <a:picLocks noChangeAspect="1"/>
                    </pic:cNvPicPr>
                  </pic:nvPicPr>
                  <pic:blipFill>
                    <a:blip r:embed="rId14"/>
                    <a:stretch>
                      <a:fillRect/>
                    </a:stretch>
                  </pic:blipFill>
                  <pic:spPr>
                    <a:xfrm>
                      <a:off x="0" y="0"/>
                      <a:ext cx="5943600" cy="2764155"/>
                    </a:xfrm>
                    <a:prstGeom prst="rect">
                      <a:avLst/>
                    </a:prstGeom>
                  </pic:spPr>
                </pic:pic>
              </a:graphicData>
            </a:graphic>
          </wp:inline>
        </w:drawing>
      </w:r>
    </w:p>
    <w:p w14:paraId="0B5CA763" w14:textId="3BD5909B" w:rsidR="00596646" w:rsidRPr="00596646" w:rsidRDefault="00596646" w:rsidP="00596646">
      <w:r w:rsidRPr="00596646">
        <w:rPr>
          <w:noProof/>
        </w:rPr>
        <w:drawing>
          <wp:inline distT="0" distB="0" distL="0" distR="0" wp14:anchorId="0B196D98" wp14:editId="52445C37">
            <wp:extent cx="5943600" cy="2795905"/>
            <wp:effectExtent l="0" t="0" r="0" b="0"/>
            <wp:docPr id="22" name="Picture 21" descr="Chart&#10;&#10;Description automatically generated with medium confidence">
              <a:extLst xmlns:a="http://schemas.openxmlformats.org/drawingml/2006/main">
                <a:ext uri="{FF2B5EF4-FFF2-40B4-BE49-F238E27FC236}">
                  <a16:creationId xmlns:a16="http://schemas.microsoft.com/office/drawing/2014/main" id="{E3EE1240-315F-6543-81AE-DA730897CE0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Chart&#10;&#10;Description automatically generated with medium confidence">
                      <a:extLst>
                        <a:ext uri="{FF2B5EF4-FFF2-40B4-BE49-F238E27FC236}">
                          <a16:creationId xmlns:a16="http://schemas.microsoft.com/office/drawing/2014/main" id="{E3EE1240-315F-6543-81AE-DA730897CE0D}"/>
                        </a:ext>
                      </a:extLst>
                    </pic:cNvPr>
                    <pic:cNvPicPr>
                      <a:picLocks noChangeAspect="1"/>
                    </pic:cNvPicPr>
                  </pic:nvPicPr>
                  <pic:blipFill>
                    <a:blip r:embed="rId15"/>
                    <a:stretch>
                      <a:fillRect/>
                    </a:stretch>
                  </pic:blipFill>
                  <pic:spPr>
                    <a:xfrm>
                      <a:off x="0" y="0"/>
                      <a:ext cx="5943600" cy="2795905"/>
                    </a:xfrm>
                    <a:prstGeom prst="rect">
                      <a:avLst/>
                    </a:prstGeom>
                  </pic:spPr>
                </pic:pic>
              </a:graphicData>
            </a:graphic>
          </wp:inline>
        </w:drawing>
      </w:r>
    </w:p>
    <w:p w14:paraId="2107F97D" w14:textId="2FC17221" w:rsidR="00F70B70" w:rsidRPr="004F2656" w:rsidRDefault="00F70B70" w:rsidP="003F4D85">
      <w:pPr>
        <w:pStyle w:val="Heading1"/>
        <w:numPr>
          <w:ilvl w:val="0"/>
          <w:numId w:val="18"/>
        </w:numPr>
        <w:ind w:left="360"/>
      </w:pPr>
      <w:r w:rsidRPr="004F2656">
        <w:lastRenderedPageBreak/>
        <w:t>Sustainability Plan</w:t>
      </w:r>
    </w:p>
    <w:p w14:paraId="3507AA80" w14:textId="77777777" w:rsidR="00CB7478" w:rsidRPr="00CB7478" w:rsidRDefault="00CB7478" w:rsidP="00CB7478">
      <w:pPr>
        <w:pStyle w:val="Heading1"/>
        <w:ind w:left="360"/>
        <w:rPr>
          <w:rFonts w:asciiTheme="minorHAnsi" w:hAnsiTheme="minorHAnsi" w:cstheme="minorHAnsi"/>
          <w:iCs/>
          <w:color w:val="000000" w:themeColor="text1"/>
          <w:sz w:val="24"/>
          <w:szCs w:val="24"/>
        </w:rPr>
      </w:pPr>
      <w:r w:rsidRPr="00CB7478">
        <w:rPr>
          <w:rFonts w:asciiTheme="minorHAnsi" w:hAnsiTheme="minorHAnsi" w:cstheme="minorHAnsi"/>
          <w:iCs/>
          <w:color w:val="000000" w:themeColor="text1"/>
          <w:sz w:val="24"/>
          <w:szCs w:val="24"/>
        </w:rPr>
        <w:t xml:space="preserve">The transformation was completed in December 2021 and will continue in Summer 2022 and beyond.  </w:t>
      </w:r>
    </w:p>
    <w:p w14:paraId="0224AF99" w14:textId="31CA0E86" w:rsidR="00CB7478" w:rsidRPr="00CB7478" w:rsidRDefault="00CB7478" w:rsidP="00CB7478">
      <w:pPr>
        <w:pStyle w:val="Heading1"/>
        <w:ind w:left="360"/>
        <w:rPr>
          <w:rFonts w:asciiTheme="minorHAnsi" w:hAnsiTheme="minorHAnsi" w:cstheme="minorHAnsi"/>
          <w:iCs/>
          <w:color w:val="000000" w:themeColor="text1"/>
          <w:sz w:val="24"/>
          <w:szCs w:val="24"/>
        </w:rPr>
      </w:pPr>
      <w:r w:rsidRPr="00CB7478">
        <w:rPr>
          <w:rFonts w:asciiTheme="minorHAnsi" w:hAnsiTheme="minorHAnsi" w:cstheme="minorHAnsi"/>
          <w:iCs/>
          <w:color w:val="000000" w:themeColor="text1"/>
          <w:sz w:val="24"/>
          <w:szCs w:val="24"/>
        </w:rPr>
        <w:t xml:space="preserve">The project leader will guarantee that the course materials are up to current standards and applicable in future semesters. She will also be responsible for uploading the new materials on the learning management system, hence providing sustainable solutions. After successful implementation of the materials, the data collected will be disseminated on various local, regional and national conferences focused on teaching and learning (USG, STEM, </w:t>
      </w:r>
      <w:proofErr w:type="spellStart"/>
      <w:r w:rsidRPr="00CB7478">
        <w:rPr>
          <w:rFonts w:asciiTheme="minorHAnsi" w:hAnsiTheme="minorHAnsi" w:cstheme="minorHAnsi"/>
          <w:iCs/>
          <w:color w:val="000000" w:themeColor="text1"/>
          <w:sz w:val="24"/>
          <w:szCs w:val="24"/>
        </w:rPr>
        <w:t>SoTL</w:t>
      </w:r>
      <w:proofErr w:type="spellEnd"/>
      <w:r w:rsidRPr="00CB7478">
        <w:rPr>
          <w:rFonts w:asciiTheme="minorHAnsi" w:hAnsiTheme="minorHAnsi" w:cstheme="minorHAnsi"/>
          <w:iCs/>
          <w:color w:val="000000" w:themeColor="text1"/>
          <w:sz w:val="24"/>
          <w:szCs w:val="24"/>
        </w:rPr>
        <w:t>), and chemical education (American Chemical Society) conferences. The PI may</w:t>
      </w:r>
      <w:r w:rsidR="00CE586E">
        <w:rPr>
          <w:rFonts w:asciiTheme="minorHAnsi" w:hAnsiTheme="minorHAnsi" w:cstheme="minorHAnsi"/>
          <w:iCs/>
          <w:color w:val="000000" w:themeColor="text1"/>
          <w:sz w:val="24"/>
          <w:szCs w:val="24"/>
        </w:rPr>
        <w:t xml:space="preserve"> </w:t>
      </w:r>
      <w:r w:rsidRPr="00CB7478">
        <w:rPr>
          <w:rFonts w:asciiTheme="minorHAnsi" w:hAnsiTheme="minorHAnsi" w:cstheme="minorHAnsi"/>
          <w:iCs/>
          <w:color w:val="000000" w:themeColor="text1"/>
          <w:sz w:val="24"/>
          <w:szCs w:val="24"/>
        </w:rPr>
        <w:t>disseminate the results in the peer-reviewed journals such as Journal of Chemical Education or International Journal of Scholarship of Teaching and Learning (</w:t>
      </w:r>
      <w:proofErr w:type="spellStart"/>
      <w:r w:rsidRPr="00CB7478">
        <w:rPr>
          <w:rFonts w:asciiTheme="minorHAnsi" w:hAnsiTheme="minorHAnsi" w:cstheme="minorHAnsi"/>
          <w:iCs/>
          <w:color w:val="000000" w:themeColor="text1"/>
          <w:sz w:val="24"/>
          <w:szCs w:val="24"/>
        </w:rPr>
        <w:t>IJSoTL</w:t>
      </w:r>
      <w:proofErr w:type="spellEnd"/>
      <w:r w:rsidRPr="00CB7478">
        <w:rPr>
          <w:rFonts w:asciiTheme="minorHAnsi" w:hAnsiTheme="minorHAnsi" w:cstheme="minorHAnsi"/>
          <w:iCs/>
          <w:color w:val="000000" w:themeColor="text1"/>
          <w:sz w:val="24"/>
          <w:szCs w:val="24"/>
        </w:rPr>
        <w:t>).</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3F8AA233" w:rsidR="00EE7C7E" w:rsidRPr="00CB7478" w:rsidRDefault="00CB7478" w:rsidP="003F4D85">
      <w:pPr>
        <w:ind w:left="360"/>
        <w:rPr>
          <w:b/>
          <w:iCs/>
          <w:sz w:val="24"/>
          <w:szCs w:val="24"/>
        </w:rPr>
      </w:pPr>
      <w:r>
        <w:rPr>
          <w:iCs/>
          <w:sz w:val="24"/>
          <w:szCs w:val="24"/>
        </w:rPr>
        <w:t>The successful changes encourage me to examine similar changes in my other courses.  At the time, I have made transformations in the two courses I have impact in textbook selection.</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7DA2C5A" w14:textId="06D17E8C" w:rsidR="00554810" w:rsidRPr="00220876" w:rsidRDefault="00554810" w:rsidP="001D6D39">
      <w:pPr>
        <w:ind w:left="360"/>
      </w:pPr>
      <w:r>
        <w:t>The early success of this project led to the presentation of a poster at the Spring 2022 National Meeting of the American Chemical Society.  A future publication is also being investigated.</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8F83036" w:rsidR="00CB083C" w:rsidRPr="003F4D85" w:rsidRDefault="00554810" w:rsidP="003F4D85">
      <w:pPr>
        <w:ind w:left="360"/>
        <w:rPr>
          <w:b/>
          <w:sz w:val="24"/>
          <w:szCs w:val="24"/>
        </w:rPr>
      </w:pPr>
      <w:r>
        <w:rPr>
          <w:i/>
          <w:sz w:val="24"/>
          <w:szCs w:val="24"/>
        </w:rPr>
        <w:t>None</w:t>
      </w:r>
      <w:r w:rsidR="00CB083C"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9336375">
    <w:abstractNumId w:val="9"/>
  </w:num>
  <w:num w:numId="2" w16cid:durableId="1357148062">
    <w:abstractNumId w:val="15"/>
  </w:num>
  <w:num w:numId="3" w16cid:durableId="272637043">
    <w:abstractNumId w:val="16"/>
  </w:num>
  <w:num w:numId="4" w16cid:durableId="1743329565">
    <w:abstractNumId w:val="13"/>
  </w:num>
  <w:num w:numId="5" w16cid:durableId="1630084782">
    <w:abstractNumId w:val="5"/>
  </w:num>
  <w:num w:numId="6" w16cid:durableId="289366814">
    <w:abstractNumId w:val="6"/>
  </w:num>
  <w:num w:numId="7" w16cid:durableId="1048840248">
    <w:abstractNumId w:val="3"/>
  </w:num>
  <w:num w:numId="8" w16cid:durableId="1616911798">
    <w:abstractNumId w:val="7"/>
  </w:num>
  <w:num w:numId="9" w16cid:durableId="811096863">
    <w:abstractNumId w:val="2"/>
  </w:num>
  <w:num w:numId="10" w16cid:durableId="690760986">
    <w:abstractNumId w:val="11"/>
  </w:num>
  <w:num w:numId="11" w16cid:durableId="1383794075">
    <w:abstractNumId w:val="1"/>
  </w:num>
  <w:num w:numId="12" w16cid:durableId="568032245">
    <w:abstractNumId w:val="12"/>
  </w:num>
  <w:num w:numId="13" w16cid:durableId="1718967928">
    <w:abstractNumId w:val="14"/>
  </w:num>
  <w:num w:numId="14" w16cid:durableId="1371761888">
    <w:abstractNumId w:val="10"/>
  </w:num>
  <w:num w:numId="15" w16cid:durableId="1831678520">
    <w:abstractNumId w:val="4"/>
  </w:num>
  <w:num w:numId="16" w16cid:durableId="1712917226">
    <w:abstractNumId w:val="17"/>
  </w:num>
  <w:num w:numId="17" w16cid:durableId="229268390">
    <w:abstractNumId w:val="8"/>
  </w:num>
  <w:num w:numId="18" w16cid:durableId="1920823893">
    <w:abstractNumId w:val="18"/>
  </w:num>
  <w:num w:numId="19" w16cid:durableId="950549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645CB"/>
    <w:rsid w:val="00071B22"/>
    <w:rsid w:val="00075E05"/>
    <w:rsid w:val="00082546"/>
    <w:rsid w:val="00101A24"/>
    <w:rsid w:val="00190A51"/>
    <w:rsid w:val="001A218C"/>
    <w:rsid w:val="001B2107"/>
    <w:rsid w:val="001D51FD"/>
    <w:rsid w:val="001D6D39"/>
    <w:rsid w:val="001E0EE3"/>
    <w:rsid w:val="001F4532"/>
    <w:rsid w:val="00220876"/>
    <w:rsid w:val="00240544"/>
    <w:rsid w:val="00285B86"/>
    <w:rsid w:val="003038A8"/>
    <w:rsid w:val="0033401E"/>
    <w:rsid w:val="00346044"/>
    <w:rsid w:val="003C1B4D"/>
    <w:rsid w:val="003D0854"/>
    <w:rsid w:val="003E1BCB"/>
    <w:rsid w:val="003E606E"/>
    <w:rsid w:val="003F4D85"/>
    <w:rsid w:val="00471C68"/>
    <w:rsid w:val="0048459F"/>
    <w:rsid w:val="00492702"/>
    <w:rsid w:val="004F2656"/>
    <w:rsid w:val="005212A0"/>
    <w:rsid w:val="00554810"/>
    <w:rsid w:val="00596646"/>
    <w:rsid w:val="005C11E8"/>
    <w:rsid w:val="00613044"/>
    <w:rsid w:val="00630263"/>
    <w:rsid w:val="00647915"/>
    <w:rsid w:val="00684A25"/>
    <w:rsid w:val="00687254"/>
    <w:rsid w:val="006A36A9"/>
    <w:rsid w:val="0073273B"/>
    <w:rsid w:val="00772C9F"/>
    <w:rsid w:val="00811187"/>
    <w:rsid w:val="00871BC4"/>
    <w:rsid w:val="008E0D01"/>
    <w:rsid w:val="009108DD"/>
    <w:rsid w:val="00945780"/>
    <w:rsid w:val="0097575D"/>
    <w:rsid w:val="00987DD6"/>
    <w:rsid w:val="00A06E45"/>
    <w:rsid w:val="00A32AF4"/>
    <w:rsid w:val="00A77F21"/>
    <w:rsid w:val="00AF4890"/>
    <w:rsid w:val="00B516BC"/>
    <w:rsid w:val="00B90CC8"/>
    <w:rsid w:val="00BC3C2A"/>
    <w:rsid w:val="00BD653D"/>
    <w:rsid w:val="00BF3C8A"/>
    <w:rsid w:val="00C45872"/>
    <w:rsid w:val="00C65741"/>
    <w:rsid w:val="00C66162"/>
    <w:rsid w:val="00C749E5"/>
    <w:rsid w:val="00C807D1"/>
    <w:rsid w:val="00C80819"/>
    <w:rsid w:val="00C96BCC"/>
    <w:rsid w:val="00CB083C"/>
    <w:rsid w:val="00CB7478"/>
    <w:rsid w:val="00CE586E"/>
    <w:rsid w:val="00D11976"/>
    <w:rsid w:val="00D33492"/>
    <w:rsid w:val="00DC2BFF"/>
    <w:rsid w:val="00DD3803"/>
    <w:rsid w:val="00DD5245"/>
    <w:rsid w:val="00DF79E1"/>
    <w:rsid w:val="00E167BE"/>
    <w:rsid w:val="00E34FAA"/>
    <w:rsid w:val="00EE35AB"/>
    <w:rsid w:val="00EE7C7E"/>
    <w:rsid w:val="00F01364"/>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23352212">
      <w:bodyDiv w:val="1"/>
      <w:marLeft w:val="0"/>
      <w:marRight w:val="0"/>
      <w:marTop w:val="0"/>
      <w:marBottom w:val="0"/>
      <w:divBdr>
        <w:top w:val="none" w:sz="0" w:space="0" w:color="auto"/>
        <w:left w:val="none" w:sz="0" w:space="0" w:color="auto"/>
        <w:bottom w:val="none" w:sz="0" w:space="0" w:color="auto"/>
        <w:right w:val="none" w:sz="0" w:space="0" w:color="auto"/>
      </w:divBdr>
    </w:div>
    <w:div w:id="541403080">
      <w:bodyDiv w:val="1"/>
      <w:marLeft w:val="0"/>
      <w:marRight w:val="0"/>
      <w:marTop w:val="0"/>
      <w:marBottom w:val="0"/>
      <w:divBdr>
        <w:top w:val="none" w:sz="0" w:space="0" w:color="auto"/>
        <w:left w:val="none" w:sz="0" w:space="0" w:color="auto"/>
        <w:bottom w:val="none" w:sz="0" w:space="0" w:color="auto"/>
        <w:right w:val="none" w:sz="0" w:space="0" w:color="auto"/>
      </w:divBdr>
    </w:div>
    <w:div w:id="621112728">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510099917">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208116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mailto:cwhitlock@georgiasouthern.edu"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37B733-A1FA-4CF1-80F7-42A18FE7FBCE}"/>
</file>

<file path=customXml/itemProps2.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FC1C2929-364B-46C9-A5D6-FAEEFCF34E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Pages>
  <Words>1092</Words>
  <Characters>6227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Microsoft Office User</cp:lastModifiedBy>
  <cp:revision>28</cp:revision>
  <dcterms:created xsi:type="dcterms:W3CDTF">2018-01-10T14:52:00Z</dcterms:created>
  <dcterms:modified xsi:type="dcterms:W3CDTF">2022-05-03T17:39:00Z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