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w:t>
      </w:r>
      <w:proofErr w:type="gramStart"/>
      <w:r>
        <w:rPr>
          <w:bCs/>
          <w:i/>
          <w:iCs/>
          <w:sz w:val="24"/>
          <w:szCs w:val="24"/>
        </w:rPr>
        <w:t>or</w:t>
      </w:r>
      <w:proofErr w:type="gramEnd"/>
      <w:r>
        <w:rPr>
          <w:bCs/>
          <w:i/>
          <w:iCs/>
          <w:sz w:val="24"/>
          <w:szCs w:val="24"/>
        </w:rPr>
        <w:t xml:space="preserve"> Mini-Grants, for R17 and earlier)</w:t>
      </w:r>
    </w:p>
    <w:p w14:paraId="255EAC79" w14:textId="438EE3D4" w:rsidR="004B6F78" w:rsidRDefault="004B6F78" w:rsidP="004B6F78">
      <w:pPr>
        <w:pStyle w:val="Heading1"/>
      </w:pPr>
      <w:r>
        <w:t>General Information</w:t>
      </w:r>
    </w:p>
    <w:p w14:paraId="6A5B7154" w14:textId="73FB7ED9" w:rsidR="00687254" w:rsidRPr="004C1DD0" w:rsidRDefault="00687254" w:rsidP="00FB5060">
      <w:pPr>
        <w:ind w:left="360"/>
        <w:rPr>
          <w:i/>
          <w:iCs/>
          <w:sz w:val="24"/>
          <w:szCs w:val="24"/>
        </w:rPr>
      </w:pPr>
      <w:r w:rsidRPr="004B6F78">
        <w:rPr>
          <w:sz w:val="24"/>
          <w:szCs w:val="24"/>
        </w:rPr>
        <w:t>Date</w:t>
      </w:r>
      <w:r w:rsidR="003E1BCB" w:rsidRPr="004B6F78">
        <w:rPr>
          <w:sz w:val="24"/>
          <w:szCs w:val="24"/>
        </w:rPr>
        <w:t>:</w:t>
      </w:r>
      <w:r w:rsidR="00C47CD9">
        <w:rPr>
          <w:sz w:val="24"/>
          <w:szCs w:val="24"/>
        </w:rPr>
        <w:t xml:space="preserve"> </w:t>
      </w:r>
      <w:r w:rsidR="00C47CD9" w:rsidRPr="004C1DD0">
        <w:rPr>
          <w:i/>
          <w:iCs/>
          <w:sz w:val="24"/>
          <w:szCs w:val="24"/>
        </w:rPr>
        <w:t>8 May 2023</w:t>
      </w:r>
    </w:p>
    <w:p w14:paraId="5677D815" w14:textId="53FD03D7" w:rsidR="007C0B4B" w:rsidRPr="004C1DD0" w:rsidRDefault="007C0B4B" w:rsidP="00FB5060">
      <w:pPr>
        <w:ind w:left="360"/>
        <w:rPr>
          <w:i/>
          <w:iCs/>
          <w:sz w:val="24"/>
          <w:szCs w:val="24"/>
        </w:rPr>
      </w:pPr>
      <w:r w:rsidRPr="004B6F78">
        <w:rPr>
          <w:sz w:val="24"/>
          <w:szCs w:val="24"/>
        </w:rPr>
        <w:t>Grant Round:</w:t>
      </w:r>
      <w:r w:rsidR="00C57B55">
        <w:rPr>
          <w:sz w:val="24"/>
          <w:szCs w:val="24"/>
        </w:rPr>
        <w:t xml:space="preserve"> </w:t>
      </w:r>
      <w:r w:rsidR="00C57B55" w:rsidRPr="004C1DD0">
        <w:rPr>
          <w:i/>
          <w:iCs/>
          <w:sz w:val="24"/>
          <w:szCs w:val="24"/>
        </w:rPr>
        <w:t>Round 21</w:t>
      </w:r>
    </w:p>
    <w:p w14:paraId="41045492" w14:textId="4A1E800C" w:rsidR="00240544" w:rsidRPr="0064223D" w:rsidRDefault="003E1BCB" w:rsidP="00FB5060">
      <w:pPr>
        <w:ind w:left="360"/>
        <w:rPr>
          <w:i/>
          <w:iCs/>
          <w:sz w:val="24"/>
          <w:szCs w:val="24"/>
        </w:rPr>
      </w:pPr>
      <w:r w:rsidRPr="004B6F78">
        <w:rPr>
          <w:sz w:val="24"/>
          <w:szCs w:val="24"/>
        </w:rPr>
        <w:t>Grant</w:t>
      </w:r>
      <w:r w:rsidR="00687254" w:rsidRPr="004B6F78">
        <w:rPr>
          <w:sz w:val="24"/>
          <w:szCs w:val="24"/>
        </w:rPr>
        <w:t xml:space="preserve"> Number</w:t>
      </w:r>
      <w:r w:rsidRPr="004B6F78">
        <w:rPr>
          <w:sz w:val="24"/>
          <w:szCs w:val="24"/>
        </w:rPr>
        <w:t>:</w:t>
      </w:r>
      <w:r w:rsidR="00C57B55">
        <w:rPr>
          <w:sz w:val="24"/>
          <w:szCs w:val="24"/>
        </w:rPr>
        <w:t xml:space="preserve"> </w:t>
      </w:r>
      <w:r w:rsidR="00C57B55" w:rsidRPr="0064223D">
        <w:rPr>
          <w:i/>
          <w:iCs/>
          <w:sz w:val="24"/>
          <w:szCs w:val="24"/>
        </w:rPr>
        <w:t>Proposal M204</w:t>
      </w:r>
    </w:p>
    <w:p w14:paraId="65C4B013" w14:textId="1B47B6AE" w:rsidR="00687254" w:rsidRPr="0064223D" w:rsidRDefault="00687254" w:rsidP="00FB5060">
      <w:pPr>
        <w:ind w:left="360"/>
        <w:rPr>
          <w:i/>
          <w:iCs/>
          <w:sz w:val="24"/>
          <w:szCs w:val="24"/>
        </w:rPr>
      </w:pPr>
      <w:r w:rsidRPr="004B6F78">
        <w:rPr>
          <w:sz w:val="24"/>
          <w:szCs w:val="24"/>
        </w:rPr>
        <w:t>Institution Name(s</w:t>
      </w:r>
      <w:r w:rsidR="003E1BCB" w:rsidRPr="004B6F78">
        <w:rPr>
          <w:sz w:val="24"/>
          <w:szCs w:val="24"/>
        </w:rPr>
        <w:t>):</w:t>
      </w:r>
      <w:r w:rsidR="00301AED">
        <w:rPr>
          <w:sz w:val="24"/>
          <w:szCs w:val="24"/>
        </w:rPr>
        <w:t xml:space="preserve"> </w:t>
      </w:r>
      <w:r w:rsidR="00301AED" w:rsidRPr="0064223D">
        <w:rPr>
          <w:i/>
          <w:iCs/>
          <w:sz w:val="24"/>
          <w:szCs w:val="24"/>
        </w:rPr>
        <w:t>Kennesaw State University</w:t>
      </w:r>
    </w:p>
    <w:p w14:paraId="6A7C5B5B" w14:textId="3A2845F7" w:rsidR="00687254"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p>
    <w:p w14:paraId="779D8EB0" w14:textId="38613A1C" w:rsidR="00BA5EF6" w:rsidRPr="009A658D" w:rsidRDefault="006063D2" w:rsidP="009A658D">
      <w:pPr>
        <w:pStyle w:val="ListParagraph"/>
        <w:numPr>
          <w:ilvl w:val="0"/>
          <w:numId w:val="18"/>
        </w:numPr>
        <w:rPr>
          <w:i/>
          <w:iCs/>
          <w:sz w:val="24"/>
          <w:szCs w:val="24"/>
        </w:rPr>
      </w:pPr>
      <w:r w:rsidRPr="009A658D">
        <w:rPr>
          <w:i/>
          <w:iCs/>
          <w:sz w:val="24"/>
          <w:szCs w:val="24"/>
        </w:rPr>
        <w:t>Erin Bahl, Assistant Professor, English Department, Kennesaw State University</w:t>
      </w:r>
      <w:r w:rsidR="000679DE">
        <w:rPr>
          <w:i/>
          <w:iCs/>
          <w:sz w:val="24"/>
          <w:szCs w:val="24"/>
        </w:rPr>
        <w:t>, ebahl@kennesaw.edu</w:t>
      </w:r>
    </w:p>
    <w:p w14:paraId="4F78488F" w14:textId="2478F1E1" w:rsidR="00502067" w:rsidRPr="009A658D" w:rsidRDefault="007F6878" w:rsidP="009A658D">
      <w:pPr>
        <w:pStyle w:val="ListParagraph"/>
        <w:numPr>
          <w:ilvl w:val="0"/>
          <w:numId w:val="18"/>
        </w:numPr>
        <w:rPr>
          <w:i/>
          <w:iCs/>
          <w:sz w:val="24"/>
          <w:szCs w:val="24"/>
        </w:rPr>
      </w:pPr>
      <w:r w:rsidRPr="009A658D">
        <w:rPr>
          <w:i/>
          <w:iCs/>
          <w:sz w:val="24"/>
          <w:szCs w:val="24"/>
        </w:rPr>
        <w:t>Stephen Bartlett, Senior Lecturer, History</w:t>
      </w:r>
      <w:r w:rsidR="004D4C11">
        <w:rPr>
          <w:i/>
          <w:iCs/>
          <w:sz w:val="24"/>
          <w:szCs w:val="24"/>
        </w:rPr>
        <w:t xml:space="preserve"> Department</w:t>
      </w:r>
      <w:r w:rsidRPr="009A658D">
        <w:rPr>
          <w:i/>
          <w:iCs/>
          <w:sz w:val="24"/>
          <w:szCs w:val="24"/>
        </w:rPr>
        <w:t xml:space="preserve">/Associate Director of the Office of Digital Education, </w:t>
      </w:r>
      <w:proofErr w:type="spellStart"/>
      <w:r w:rsidRPr="009A658D">
        <w:rPr>
          <w:i/>
          <w:iCs/>
          <w:sz w:val="24"/>
          <w:szCs w:val="24"/>
        </w:rPr>
        <w:t>Radow</w:t>
      </w:r>
      <w:proofErr w:type="spellEnd"/>
      <w:r w:rsidRPr="009A658D">
        <w:rPr>
          <w:i/>
          <w:iCs/>
          <w:sz w:val="24"/>
          <w:szCs w:val="24"/>
        </w:rPr>
        <w:t xml:space="preserve"> College of Humanities and Social Sciences</w:t>
      </w:r>
      <w:r w:rsidR="00B912AE" w:rsidRPr="009A658D">
        <w:rPr>
          <w:i/>
          <w:iCs/>
          <w:sz w:val="24"/>
          <w:szCs w:val="24"/>
        </w:rPr>
        <w:t>, Kennesaw State University</w:t>
      </w:r>
      <w:r w:rsidR="000679DE">
        <w:rPr>
          <w:i/>
          <w:iCs/>
          <w:sz w:val="24"/>
          <w:szCs w:val="24"/>
        </w:rPr>
        <w:t>, sbartlet@kennesaw.edu</w:t>
      </w:r>
    </w:p>
    <w:p w14:paraId="6299E12A" w14:textId="1738983D" w:rsidR="009A658D" w:rsidRDefault="009A658D" w:rsidP="009A658D">
      <w:pPr>
        <w:pStyle w:val="ListParagraph"/>
        <w:numPr>
          <w:ilvl w:val="0"/>
          <w:numId w:val="18"/>
        </w:numPr>
        <w:rPr>
          <w:i/>
          <w:iCs/>
          <w:sz w:val="24"/>
          <w:szCs w:val="24"/>
        </w:rPr>
      </w:pPr>
      <w:r w:rsidRPr="009A658D">
        <w:rPr>
          <w:i/>
          <w:iCs/>
          <w:sz w:val="24"/>
          <w:szCs w:val="24"/>
        </w:rPr>
        <w:t>M</w:t>
      </w:r>
      <w:r>
        <w:rPr>
          <w:i/>
          <w:iCs/>
          <w:sz w:val="24"/>
          <w:szCs w:val="24"/>
        </w:rPr>
        <w:t>ary Margaret Cornwell, Media Specialist</w:t>
      </w:r>
      <w:r w:rsidR="0057691B">
        <w:rPr>
          <w:i/>
          <w:iCs/>
          <w:sz w:val="24"/>
          <w:szCs w:val="24"/>
        </w:rPr>
        <w:t xml:space="preserve"> (</w:t>
      </w:r>
      <w:r w:rsidR="0021554F">
        <w:rPr>
          <w:i/>
          <w:iCs/>
          <w:sz w:val="24"/>
          <w:szCs w:val="24"/>
        </w:rPr>
        <w:t xml:space="preserve">formerly </w:t>
      </w:r>
      <w:r w:rsidR="0021554F" w:rsidRPr="0021554F">
        <w:rPr>
          <w:i/>
          <w:iCs/>
          <w:sz w:val="24"/>
          <w:szCs w:val="24"/>
        </w:rPr>
        <w:t>Research Consultation Coordinator</w:t>
      </w:r>
      <w:r w:rsidR="0021554F">
        <w:rPr>
          <w:i/>
          <w:iCs/>
          <w:sz w:val="24"/>
          <w:szCs w:val="24"/>
        </w:rPr>
        <w:t>, KSU Libraries, Kennesaw State University</w:t>
      </w:r>
      <w:r w:rsidR="0057691B">
        <w:rPr>
          <w:i/>
          <w:iCs/>
          <w:sz w:val="24"/>
          <w:szCs w:val="24"/>
        </w:rPr>
        <w:t>)</w:t>
      </w:r>
      <w:r w:rsidR="000679DE">
        <w:rPr>
          <w:i/>
          <w:iCs/>
          <w:sz w:val="24"/>
          <w:szCs w:val="24"/>
        </w:rPr>
        <w:t>, marymargaret.cornwell@gmail.com</w:t>
      </w:r>
    </w:p>
    <w:p w14:paraId="7CD66985" w14:textId="749172F3" w:rsidR="004D4C11" w:rsidRDefault="004D4C11" w:rsidP="009A658D">
      <w:pPr>
        <w:pStyle w:val="ListParagraph"/>
        <w:numPr>
          <w:ilvl w:val="0"/>
          <w:numId w:val="18"/>
        </w:numPr>
        <w:rPr>
          <w:i/>
          <w:iCs/>
          <w:sz w:val="24"/>
          <w:szCs w:val="24"/>
        </w:rPr>
      </w:pPr>
      <w:r>
        <w:rPr>
          <w:i/>
          <w:iCs/>
          <w:sz w:val="24"/>
          <w:szCs w:val="24"/>
        </w:rPr>
        <w:t>Laura Howard, Senior Lecturer, English Department</w:t>
      </w:r>
      <w:r w:rsidR="00B906AB">
        <w:rPr>
          <w:i/>
          <w:iCs/>
          <w:sz w:val="24"/>
          <w:szCs w:val="24"/>
        </w:rPr>
        <w:t>, Kennesaw State University</w:t>
      </w:r>
      <w:r w:rsidR="002024A0">
        <w:rPr>
          <w:i/>
          <w:iCs/>
          <w:sz w:val="24"/>
          <w:szCs w:val="24"/>
        </w:rPr>
        <w:t>, lhowar40@kennesaw.edu</w:t>
      </w:r>
      <w:r w:rsidR="00B906AB">
        <w:rPr>
          <w:i/>
          <w:iCs/>
          <w:sz w:val="24"/>
          <w:szCs w:val="24"/>
        </w:rPr>
        <w:t xml:space="preserve"> </w:t>
      </w:r>
    </w:p>
    <w:p w14:paraId="7C5BF527" w14:textId="4D7D7DD5" w:rsidR="00BA5EF6" w:rsidRPr="000679DE" w:rsidRDefault="000F2D27" w:rsidP="000679DE">
      <w:pPr>
        <w:pStyle w:val="ListParagraph"/>
        <w:numPr>
          <w:ilvl w:val="0"/>
          <w:numId w:val="18"/>
        </w:numPr>
        <w:rPr>
          <w:i/>
          <w:iCs/>
          <w:sz w:val="24"/>
          <w:szCs w:val="24"/>
        </w:rPr>
      </w:pPr>
      <w:r>
        <w:rPr>
          <w:i/>
          <w:iCs/>
          <w:sz w:val="24"/>
          <w:szCs w:val="24"/>
        </w:rPr>
        <w:t xml:space="preserve">Jason </w:t>
      </w:r>
      <w:proofErr w:type="spellStart"/>
      <w:r>
        <w:rPr>
          <w:i/>
          <w:iCs/>
          <w:sz w:val="24"/>
          <w:szCs w:val="24"/>
        </w:rPr>
        <w:t>Rodenbeck</w:t>
      </w:r>
      <w:proofErr w:type="spellEnd"/>
      <w:r>
        <w:rPr>
          <w:i/>
          <w:iCs/>
          <w:sz w:val="24"/>
          <w:szCs w:val="24"/>
        </w:rPr>
        <w:t xml:space="preserve">, </w:t>
      </w:r>
      <w:r w:rsidRPr="000F2D27">
        <w:rPr>
          <w:i/>
          <w:iCs/>
          <w:sz w:val="24"/>
          <w:szCs w:val="24"/>
        </w:rPr>
        <w:t>Assistant Director of Academic Web Accessibility</w:t>
      </w:r>
      <w:r w:rsidR="00BF4B3E">
        <w:rPr>
          <w:i/>
          <w:iCs/>
          <w:sz w:val="24"/>
          <w:szCs w:val="24"/>
        </w:rPr>
        <w:t>,</w:t>
      </w:r>
      <w:r w:rsidRPr="000F2D27">
        <w:rPr>
          <w:i/>
          <w:iCs/>
          <w:sz w:val="24"/>
          <w:szCs w:val="24"/>
        </w:rPr>
        <w:t xml:space="preserve"> Digital Learning Innovations</w:t>
      </w:r>
      <w:r w:rsidR="004674B8">
        <w:rPr>
          <w:i/>
          <w:iCs/>
          <w:sz w:val="24"/>
          <w:szCs w:val="24"/>
        </w:rPr>
        <w:t>/Chair, Disability Access Coalition</w:t>
      </w:r>
      <w:r w:rsidR="00A12904">
        <w:rPr>
          <w:i/>
          <w:iCs/>
          <w:sz w:val="24"/>
          <w:szCs w:val="24"/>
        </w:rPr>
        <w:t>, Kennesaw State University</w:t>
      </w:r>
      <w:r w:rsidR="006F1313">
        <w:rPr>
          <w:i/>
          <w:iCs/>
          <w:sz w:val="24"/>
          <w:szCs w:val="24"/>
        </w:rPr>
        <w:t>, jrodenb1@kennesaw.edu</w:t>
      </w:r>
    </w:p>
    <w:p w14:paraId="3FC9927E" w14:textId="62774446" w:rsidR="00687254" w:rsidRPr="00B63F50" w:rsidRDefault="00687254" w:rsidP="00FB5060">
      <w:pPr>
        <w:ind w:left="360"/>
        <w:rPr>
          <w:i/>
          <w:iCs/>
          <w:sz w:val="24"/>
          <w:szCs w:val="24"/>
        </w:rPr>
      </w:pPr>
      <w:r w:rsidRPr="004B6F78">
        <w:rPr>
          <w:sz w:val="24"/>
          <w:szCs w:val="24"/>
        </w:rPr>
        <w:t>Project Lead</w:t>
      </w:r>
      <w:r w:rsidR="003E1BCB" w:rsidRPr="004B6F78">
        <w:rPr>
          <w:sz w:val="24"/>
          <w:szCs w:val="24"/>
        </w:rPr>
        <w:t>:</w:t>
      </w:r>
      <w:r w:rsidR="00BA5EF6">
        <w:rPr>
          <w:sz w:val="24"/>
          <w:szCs w:val="24"/>
        </w:rPr>
        <w:t xml:space="preserve"> </w:t>
      </w:r>
      <w:r w:rsidR="00BA5EF6" w:rsidRPr="00B63F50">
        <w:rPr>
          <w:i/>
          <w:iCs/>
          <w:sz w:val="24"/>
          <w:szCs w:val="24"/>
        </w:rPr>
        <w:t>Erin Bahl</w:t>
      </w:r>
    </w:p>
    <w:p w14:paraId="46A62745" w14:textId="557D1EDE" w:rsidR="00DF79E1" w:rsidRPr="00DD0F4C" w:rsidRDefault="00DF79E1" w:rsidP="00FB5060">
      <w:pPr>
        <w:ind w:left="360"/>
        <w:rPr>
          <w:i/>
          <w:iCs/>
          <w:sz w:val="24"/>
          <w:szCs w:val="24"/>
        </w:rPr>
      </w:pPr>
      <w:r w:rsidRPr="004B6F78">
        <w:rPr>
          <w:sz w:val="24"/>
          <w:szCs w:val="24"/>
        </w:rPr>
        <w:t>Course Name(s) and Course Numbers</w:t>
      </w:r>
      <w:r w:rsidR="003E1BCB" w:rsidRPr="004B6F78">
        <w:rPr>
          <w:sz w:val="24"/>
          <w:szCs w:val="24"/>
        </w:rPr>
        <w:t>:</w:t>
      </w:r>
      <w:r w:rsidR="00B63F50">
        <w:rPr>
          <w:sz w:val="24"/>
          <w:szCs w:val="24"/>
        </w:rPr>
        <w:t xml:space="preserve"> </w:t>
      </w:r>
      <w:r w:rsidR="00B63F50" w:rsidRPr="00DD0F4C">
        <w:rPr>
          <w:i/>
          <w:iCs/>
          <w:sz w:val="24"/>
          <w:szCs w:val="24"/>
        </w:rPr>
        <w:t>n/a</w:t>
      </w:r>
    </w:p>
    <w:p w14:paraId="4D2A60B3" w14:textId="14D027B9" w:rsidR="00687254" w:rsidRPr="00DD0F4C" w:rsidRDefault="007C0B4B" w:rsidP="00FB5060">
      <w:pPr>
        <w:ind w:left="360"/>
        <w:rPr>
          <w:i/>
          <w:iCs/>
          <w:sz w:val="24"/>
          <w:szCs w:val="24"/>
        </w:rPr>
      </w:pPr>
      <w:r w:rsidRPr="004B6F78">
        <w:rPr>
          <w:sz w:val="24"/>
          <w:szCs w:val="24"/>
        </w:rPr>
        <w:t>Final Semester of Project</w:t>
      </w:r>
      <w:r w:rsidR="003E1BCB" w:rsidRPr="004B6F78">
        <w:rPr>
          <w:sz w:val="24"/>
          <w:szCs w:val="24"/>
        </w:rPr>
        <w:t>:</w:t>
      </w:r>
      <w:r w:rsidR="007D607B">
        <w:rPr>
          <w:sz w:val="24"/>
          <w:szCs w:val="24"/>
        </w:rPr>
        <w:t xml:space="preserve"> </w:t>
      </w:r>
      <w:r w:rsidR="007D607B" w:rsidRPr="00DD0F4C">
        <w:rPr>
          <w:i/>
          <w:iCs/>
          <w:sz w:val="24"/>
          <w:szCs w:val="24"/>
        </w:rPr>
        <w:t>Spring 2023</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35F9E08D"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AA2DA7">
        <w:rPr>
          <w:sz w:val="24"/>
          <w:szCs w:val="24"/>
        </w:rPr>
        <w:t xml:space="preserve"> </w:t>
      </w:r>
      <w:r w:rsidR="00AA2DA7" w:rsidRPr="007673E1">
        <w:rPr>
          <w:i/>
          <w:iCs/>
          <w:sz w:val="24"/>
          <w:szCs w:val="24"/>
        </w:rPr>
        <w:t>n/a</w:t>
      </w:r>
    </w:p>
    <w:p w14:paraId="05ADD94C" w14:textId="6784E969"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7673E1">
        <w:rPr>
          <w:sz w:val="24"/>
          <w:szCs w:val="24"/>
        </w:rPr>
        <w:t xml:space="preserve"> </w:t>
      </w:r>
      <w:r w:rsidR="007673E1" w:rsidRPr="007673E1">
        <w:rPr>
          <w:i/>
          <w:iCs/>
          <w:sz w:val="24"/>
          <w:szCs w:val="24"/>
        </w:rPr>
        <w:t>n/a</w:t>
      </w:r>
    </w:p>
    <w:p w14:paraId="038DDCB1" w14:textId="72BEF3F2"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7673E1">
        <w:rPr>
          <w:sz w:val="24"/>
          <w:szCs w:val="24"/>
        </w:rPr>
        <w:t xml:space="preserve"> </w:t>
      </w:r>
      <w:r w:rsidR="007673E1" w:rsidRPr="007673E1">
        <w:rPr>
          <w:i/>
          <w:iCs/>
          <w:sz w:val="24"/>
          <w:szCs w:val="24"/>
        </w:rPr>
        <w:t>n/a</w:t>
      </w:r>
    </w:p>
    <w:p w14:paraId="6674B072" w14:textId="1F9B44C5" w:rsidR="00DF79E1" w:rsidRPr="004F2656" w:rsidRDefault="007C0B4B" w:rsidP="00CF04DC">
      <w:pPr>
        <w:pStyle w:val="Heading1"/>
        <w:numPr>
          <w:ilvl w:val="0"/>
          <w:numId w:val="17"/>
        </w:numPr>
        <w:ind w:left="360"/>
      </w:pPr>
      <w:r>
        <w:lastRenderedPageBreak/>
        <w:t xml:space="preserve">Project </w:t>
      </w:r>
      <w:r w:rsidR="00DF79E1" w:rsidRPr="004F2656">
        <w:t>Narrative</w:t>
      </w:r>
    </w:p>
    <w:p w14:paraId="64BAF7D1" w14:textId="4B85C68E" w:rsidR="007C0B4B" w:rsidRPr="0025391B" w:rsidRDefault="00DF79E1" w:rsidP="007C0B4B">
      <w:pPr>
        <w:pStyle w:val="ListParagraph"/>
        <w:ind w:left="360"/>
        <w:rPr>
          <w:iCs/>
          <w:sz w:val="24"/>
          <w:szCs w:val="24"/>
        </w:rPr>
      </w:pPr>
      <w:r w:rsidRPr="0025391B">
        <w:rPr>
          <w:iCs/>
          <w:sz w:val="24"/>
          <w:szCs w:val="24"/>
        </w:rPr>
        <w:t>Describe</w:t>
      </w:r>
      <w:r w:rsidR="001B2107" w:rsidRPr="0025391B">
        <w:rPr>
          <w:iCs/>
          <w:sz w:val="24"/>
          <w:szCs w:val="24"/>
        </w:rPr>
        <w:t xml:space="preserve"> the </w:t>
      </w:r>
      <w:r w:rsidR="007C0B4B" w:rsidRPr="0025391B">
        <w:rPr>
          <w:iCs/>
          <w:sz w:val="24"/>
          <w:szCs w:val="24"/>
        </w:rPr>
        <w:t xml:space="preserve">course of your revision or ancillary creation project, </w:t>
      </w:r>
      <w:proofErr w:type="gramStart"/>
      <w:r w:rsidR="007C0B4B" w:rsidRPr="0025391B">
        <w:rPr>
          <w:iCs/>
          <w:sz w:val="24"/>
          <w:szCs w:val="24"/>
        </w:rPr>
        <w:t>including</w:t>
      </w:r>
      <w:proofErr w:type="gramEnd"/>
    </w:p>
    <w:p w14:paraId="38E42C53" w14:textId="6D3E2AFE" w:rsidR="00DF79E1" w:rsidRPr="0025391B" w:rsidRDefault="007C0B4B" w:rsidP="007C0B4B">
      <w:pPr>
        <w:pStyle w:val="ListParagraph"/>
        <w:numPr>
          <w:ilvl w:val="0"/>
          <w:numId w:val="8"/>
        </w:numPr>
        <w:rPr>
          <w:iCs/>
          <w:sz w:val="24"/>
          <w:szCs w:val="24"/>
        </w:rPr>
      </w:pPr>
      <w:r w:rsidRPr="0025391B">
        <w:rPr>
          <w:iCs/>
          <w:sz w:val="24"/>
          <w:szCs w:val="24"/>
        </w:rPr>
        <w:t>A summary of your project’s purpose, plan, and timeline</w:t>
      </w:r>
      <w:r w:rsidR="0015324D" w:rsidRPr="0025391B">
        <w:rPr>
          <w:iCs/>
          <w:sz w:val="24"/>
          <w:szCs w:val="24"/>
        </w:rPr>
        <w:t>.</w:t>
      </w:r>
    </w:p>
    <w:p w14:paraId="2D464CBD" w14:textId="734CC530" w:rsidR="0015324D" w:rsidRPr="0025391B" w:rsidRDefault="0015324D" w:rsidP="00CF04DC">
      <w:pPr>
        <w:pStyle w:val="ListParagraph"/>
        <w:numPr>
          <w:ilvl w:val="0"/>
          <w:numId w:val="8"/>
        </w:numPr>
        <w:rPr>
          <w:iCs/>
          <w:sz w:val="24"/>
          <w:szCs w:val="24"/>
        </w:rPr>
      </w:pPr>
      <w:r w:rsidRPr="0025391B">
        <w:rPr>
          <w:iCs/>
          <w:sz w:val="24"/>
          <w:szCs w:val="24"/>
        </w:rPr>
        <w:t>The original works which were revised or added to, with links.</w:t>
      </w:r>
      <w:r w:rsidR="00CF04DC" w:rsidRPr="0025391B">
        <w:rPr>
          <w:iCs/>
          <w:sz w:val="24"/>
          <w:szCs w:val="24"/>
        </w:rPr>
        <w:t xml:space="preserve"> </w:t>
      </w:r>
      <w:r w:rsidRPr="0025391B">
        <w:rPr>
          <w:iCs/>
          <w:sz w:val="24"/>
          <w:szCs w:val="24"/>
        </w:rPr>
        <w:t xml:space="preserve">For example, if you revised an open textbook, give the title, author, and link. </w:t>
      </w:r>
    </w:p>
    <w:p w14:paraId="006AB041" w14:textId="0DFD30C3" w:rsidR="007C0B4B" w:rsidRPr="0025391B" w:rsidRDefault="007C0B4B" w:rsidP="007C0B4B">
      <w:pPr>
        <w:pStyle w:val="ListParagraph"/>
        <w:numPr>
          <w:ilvl w:val="0"/>
          <w:numId w:val="8"/>
        </w:numPr>
        <w:rPr>
          <w:iCs/>
          <w:sz w:val="24"/>
          <w:szCs w:val="24"/>
        </w:rPr>
      </w:pPr>
      <w:r w:rsidRPr="0025391B">
        <w:rPr>
          <w:iCs/>
          <w:sz w:val="24"/>
          <w:szCs w:val="24"/>
        </w:rPr>
        <w:t>A narrative description of how the project’s plan was carried out</w:t>
      </w:r>
      <w:r w:rsidR="0015324D" w:rsidRPr="0025391B">
        <w:rPr>
          <w:iCs/>
          <w:sz w:val="24"/>
          <w:szCs w:val="24"/>
        </w:rPr>
        <w:t>.</w:t>
      </w:r>
    </w:p>
    <w:p w14:paraId="33AECC4A" w14:textId="46303EBA" w:rsidR="00F06C5C" w:rsidRPr="0025391B" w:rsidRDefault="007C0B4B" w:rsidP="00F06C5C">
      <w:pPr>
        <w:pStyle w:val="ListParagraph"/>
        <w:numPr>
          <w:ilvl w:val="0"/>
          <w:numId w:val="8"/>
        </w:numPr>
        <w:rPr>
          <w:iCs/>
          <w:sz w:val="24"/>
          <w:szCs w:val="24"/>
        </w:rPr>
      </w:pPr>
      <w:r w:rsidRPr="0025391B">
        <w:rPr>
          <w:iCs/>
          <w:sz w:val="24"/>
          <w:szCs w:val="24"/>
        </w:rPr>
        <w:t>Lessons learned, including anything you would do differently next time</w:t>
      </w:r>
      <w:r w:rsidR="0015324D" w:rsidRPr="0025391B">
        <w:rPr>
          <w:iCs/>
          <w:sz w:val="24"/>
          <w:szCs w:val="24"/>
        </w:rPr>
        <w:t>.</w:t>
      </w:r>
    </w:p>
    <w:p w14:paraId="2F87E45E" w14:textId="6023BC6F" w:rsidR="00F06C5C" w:rsidRPr="0025391B" w:rsidRDefault="00FB75B9" w:rsidP="00F06C5C">
      <w:pPr>
        <w:rPr>
          <w:iCs/>
          <w:sz w:val="24"/>
          <w:szCs w:val="24"/>
        </w:rPr>
      </w:pPr>
      <w:r w:rsidRPr="0025391B">
        <w:rPr>
          <w:iCs/>
          <w:sz w:val="24"/>
          <w:szCs w:val="24"/>
        </w:rPr>
        <w:t>During the 2022-2023 academic year, o</w:t>
      </w:r>
      <w:r w:rsidR="00F06C5C" w:rsidRPr="0025391B">
        <w:rPr>
          <w:iCs/>
          <w:sz w:val="24"/>
          <w:szCs w:val="24"/>
        </w:rPr>
        <w:t>ur team created a new resource</w:t>
      </w:r>
      <w:r w:rsidR="006824D4" w:rsidRPr="0025391B">
        <w:rPr>
          <w:iCs/>
          <w:sz w:val="24"/>
          <w:szCs w:val="24"/>
        </w:rPr>
        <w:t>, “Accessibility Basics: Writing for Accessibility in Online Learning Environments”</w:t>
      </w:r>
      <w:r w:rsidR="00F06C5C" w:rsidRPr="0025391B">
        <w:rPr>
          <w:iCs/>
          <w:sz w:val="24"/>
          <w:szCs w:val="24"/>
        </w:rPr>
        <w:t xml:space="preserve"> to help students practice academic web accessibility in online courses across disciplines. </w:t>
      </w:r>
      <w:r w:rsidR="00936246" w:rsidRPr="0025391B">
        <w:rPr>
          <w:iCs/>
          <w:sz w:val="24"/>
          <w:szCs w:val="24"/>
        </w:rPr>
        <w:t>The resource includes an introduction, conclusion, and four body chapters on Accessibility Basics, Microsoft Word and PowerPoint, HTML, and PDFs</w:t>
      </w:r>
      <w:r w:rsidR="00016D30" w:rsidRPr="0025391B">
        <w:rPr>
          <w:iCs/>
          <w:sz w:val="24"/>
          <w:szCs w:val="24"/>
        </w:rPr>
        <w:t xml:space="preserve">. </w:t>
      </w:r>
    </w:p>
    <w:p w14:paraId="5FDBCD94" w14:textId="181F548A" w:rsidR="009518F0" w:rsidRPr="0025391B" w:rsidRDefault="009518F0" w:rsidP="00F06C5C">
      <w:pPr>
        <w:rPr>
          <w:iCs/>
          <w:sz w:val="24"/>
          <w:szCs w:val="24"/>
        </w:rPr>
      </w:pPr>
      <w:r w:rsidRPr="0025391B">
        <w:rPr>
          <w:iCs/>
          <w:sz w:val="24"/>
          <w:szCs w:val="24"/>
        </w:rPr>
        <w:t>During Summer</w:t>
      </w:r>
      <w:r w:rsidR="000A4F9D" w:rsidRPr="0025391B">
        <w:rPr>
          <w:iCs/>
          <w:sz w:val="24"/>
          <w:szCs w:val="24"/>
        </w:rPr>
        <w:t xml:space="preserve"> 2022</w:t>
      </w:r>
      <w:r w:rsidRPr="0025391B">
        <w:rPr>
          <w:iCs/>
          <w:sz w:val="24"/>
          <w:szCs w:val="24"/>
        </w:rPr>
        <w:t xml:space="preserve">, each team member was assigned a chapter to draft. Then, during Fall 2022, the manuscript went through three rounds of internal peer review and revision based on team member feedback. </w:t>
      </w:r>
      <w:r w:rsidR="009A6DD7" w:rsidRPr="0025391B">
        <w:rPr>
          <w:iCs/>
          <w:sz w:val="24"/>
          <w:szCs w:val="24"/>
        </w:rPr>
        <w:t xml:space="preserve">In January 2023, the manuscript was reviewed and revised based on feedback from internal KSU colleagues, including student accessibility assistants in English and the Office of Digital Education, and members of the KSU Disability Access Coalition. </w:t>
      </w:r>
      <w:r w:rsidR="00AB1710" w:rsidRPr="0025391B">
        <w:rPr>
          <w:iCs/>
          <w:sz w:val="24"/>
          <w:szCs w:val="24"/>
        </w:rPr>
        <w:t xml:space="preserve">Finally, during February-April 2023, the manuscript underwent production services through UNG Press (including copyright clearance, copyediting, proofreading, and Manifold manuscript formatting). The final proofread manuscript was reviewed by the co-author team, then submitted to ALG. </w:t>
      </w:r>
    </w:p>
    <w:p w14:paraId="5DA5AE63" w14:textId="7C85DA21" w:rsidR="005612FB" w:rsidRPr="0025391B" w:rsidRDefault="005612FB" w:rsidP="00F06C5C">
      <w:pPr>
        <w:rPr>
          <w:iCs/>
          <w:sz w:val="24"/>
          <w:szCs w:val="24"/>
        </w:rPr>
      </w:pPr>
      <w:r w:rsidRPr="0025391B">
        <w:rPr>
          <w:iCs/>
          <w:sz w:val="24"/>
          <w:szCs w:val="24"/>
        </w:rPr>
        <w:t xml:space="preserve">Overall, the manuscript developed </w:t>
      </w:r>
      <w:proofErr w:type="gramStart"/>
      <w:r w:rsidRPr="0025391B">
        <w:rPr>
          <w:iCs/>
          <w:sz w:val="24"/>
          <w:szCs w:val="24"/>
        </w:rPr>
        <w:t>fairly closely</w:t>
      </w:r>
      <w:proofErr w:type="gramEnd"/>
      <w:r w:rsidRPr="0025391B">
        <w:rPr>
          <w:iCs/>
          <w:sz w:val="24"/>
          <w:szCs w:val="24"/>
        </w:rPr>
        <w:t xml:space="preserve"> according to the original plan. One team member left KSU for another position partway through the project and needed to step back substantially, but we were able to adapt and reorganize already-drafted materials into a new section overviewing accessibility basics (rather than an individual chapter focused on accessible media as originally intended). This team member’s compensation was redirected at their request to editorial production services. </w:t>
      </w:r>
      <w:r w:rsidR="00FE391D" w:rsidRPr="0025391B">
        <w:rPr>
          <w:iCs/>
          <w:sz w:val="24"/>
          <w:szCs w:val="24"/>
        </w:rPr>
        <w:t xml:space="preserve">We were also assigned a new university grant coordinator shortly before beginning production, which has delayed payments, and we’ve found it challenging to navigate the university’s payment system to make sure all team members receive compensation in a timely manner based on their multifaceted faculty and staff roles. </w:t>
      </w:r>
      <w:r w:rsidR="00FB412A" w:rsidRPr="0025391B">
        <w:rPr>
          <w:iCs/>
          <w:sz w:val="24"/>
          <w:szCs w:val="24"/>
        </w:rPr>
        <w:t>Finally, though the co-author team include</w:t>
      </w:r>
      <w:r w:rsidR="003A36F5" w:rsidRPr="0025391B">
        <w:rPr>
          <w:iCs/>
          <w:sz w:val="24"/>
          <w:szCs w:val="24"/>
        </w:rPr>
        <w:t xml:space="preserve">s </w:t>
      </w:r>
      <w:r w:rsidR="00FB412A" w:rsidRPr="0025391B">
        <w:rPr>
          <w:iCs/>
          <w:sz w:val="24"/>
          <w:szCs w:val="24"/>
        </w:rPr>
        <w:t xml:space="preserve">disabled individuals, our project would have been strengthened through further </w:t>
      </w:r>
      <w:r w:rsidR="00802A2A" w:rsidRPr="0025391B">
        <w:rPr>
          <w:iCs/>
          <w:sz w:val="24"/>
          <w:szCs w:val="24"/>
        </w:rPr>
        <w:t xml:space="preserve">review, input, and user testing </w:t>
      </w:r>
      <w:r w:rsidR="00FB412A" w:rsidRPr="0025391B">
        <w:rPr>
          <w:iCs/>
          <w:sz w:val="24"/>
          <w:szCs w:val="24"/>
        </w:rPr>
        <w:t>from the disability community (especially disabled university students) given</w:t>
      </w:r>
      <w:r w:rsidR="006D419A" w:rsidRPr="0025391B">
        <w:rPr>
          <w:iCs/>
          <w:sz w:val="24"/>
          <w:szCs w:val="24"/>
        </w:rPr>
        <w:t xml:space="preserve"> additional</w:t>
      </w:r>
      <w:r w:rsidR="00FB412A" w:rsidRPr="0025391B">
        <w:rPr>
          <w:iCs/>
          <w:sz w:val="24"/>
          <w:szCs w:val="24"/>
        </w:rPr>
        <w:t xml:space="preserve"> time and resources. </w:t>
      </w:r>
    </w:p>
    <w:p w14:paraId="35058C60" w14:textId="77777777" w:rsidR="00F06C5C" w:rsidRPr="0025391B" w:rsidRDefault="00F06C5C" w:rsidP="00F06C5C">
      <w:pPr>
        <w:rPr>
          <w:iCs/>
          <w:sz w:val="24"/>
          <w:szCs w:val="24"/>
        </w:rPr>
      </w:pPr>
    </w:p>
    <w:p w14:paraId="2BB4C147" w14:textId="77777777" w:rsidR="00F06C5C" w:rsidRPr="00F06C5C" w:rsidRDefault="00F06C5C" w:rsidP="00F06C5C">
      <w:pPr>
        <w:rPr>
          <w:i/>
          <w:sz w:val="24"/>
          <w:szCs w:val="24"/>
        </w:rPr>
      </w:pPr>
    </w:p>
    <w:p w14:paraId="6E7CF058" w14:textId="0DA5D5F0" w:rsidR="00101A24" w:rsidRPr="004F2656" w:rsidRDefault="007C0B4B" w:rsidP="00CF04DC">
      <w:pPr>
        <w:pStyle w:val="Heading1"/>
        <w:numPr>
          <w:ilvl w:val="0"/>
          <w:numId w:val="17"/>
        </w:numPr>
        <w:ind w:left="360"/>
      </w:pPr>
      <w:r>
        <w:lastRenderedPageBreak/>
        <w:t>Materials Description</w:t>
      </w:r>
    </w:p>
    <w:p w14:paraId="1FD71721" w14:textId="24D6D76A" w:rsidR="007C0B4B" w:rsidRDefault="007C0B4B" w:rsidP="00FB5060">
      <w:pPr>
        <w:ind w:left="360"/>
        <w:rPr>
          <w:i/>
          <w:iCs/>
          <w:sz w:val="24"/>
          <w:szCs w:val="24"/>
        </w:rPr>
      </w:pPr>
      <w:r w:rsidRPr="00CF04DC">
        <w:rPr>
          <w:i/>
          <w:sz w:val="24"/>
          <w:szCs w:val="24"/>
        </w:rPr>
        <w:t xml:space="preserve">Describe all the materials you have created or revised as part of this project. These descriptions may be used in the </w:t>
      </w:r>
      <w:hyperlink r:id="rId8" w:history="1">
        <w:proofErr w:type="spellStart"/>
        <w:r w:rsidR="000A1BBB" w:rsidRPr="00F97F8A">
          <w:rPr>
            <w:rStyle w:val="Hyperlink"/>
          </w:rPr>
          <w:t>OpenALG</w:t>
        </w:r>
        <w:proofErr w:type="spellEnd"/>
      </w:hyperlink>
      <w:r w:rsidR="000A1BBB">
        <w:t xml:space="preserve"> </w:t>
      </w:r>
      <w:r w:rsidRPr="00CF04DC">
        <w:rPr>
          <w:i/>
          <w:sz w:val="24"/>
          <w:szCs w:val="24"/>
        </w:rPr>
        <w:t xml:space="preserve">repository description field. </w:t>
      </w:r>
      <w:r w:rsidR="0057795F">
        <w:rPr>
          <w:i/>
          <w:iCs/>
          <w:sz w:val="24"/>
          <w:szCs w:val="24"/>
        </w:rPr>
        <w:t>Include the</w:t>
      </w:r>
      <w:hyperlink r:id="rId9"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p>
    <w:p w14:paraId="349A8CA2" w14:textId="77777777" w:rsidR="00E2461E" w:rsidRDefault="00E2461E" w:rsidP="00FB5060">
      <w:pPr>
        <w:ind w:left="360"/>
        <w:rPr>
          <w:i/>
          <w:iCs/>
          <w:sz w:val="24"/>
          <w:szCs w:val="24"/>
        </w:rPr>
      </w:pPr>
    </w:p>
    <w:p w14:paraId="53E731AE" w14:textId="519F0E16" w:rsidR="00E2461E" w:rsidRPr="00E618D2" w:rsidRDefault="00E2461E" w:rsidP="00FB5060">
      <w:pPr>
        <w:ind w:left="360"/>
        <w:rPr>
          <w:i/>
          <w:iCs/>
          <w:sz w:val="24"/>
          <w:szCs w:val="24"/>
        </w:rPr>
      </w:pPr>
      <w:r w:rsidRPr="00E618D2">
        <w:rPr>
          <w:b/>
          <w:bCs/>
          <w:i/>
          <w:iCs/>
          <w:sz w:val="24"/>
          <w:szCs w:val="24"/>
        </w:rPr>
        <w:t>Title of New Resource:</w:t>
      </w:r>
      <w:r>
        <w:rPr>
          <w:i/>
          <w:iCs/>
          <w:sz w:val="24"/>
          <w:szCs w:val="24"/>
        </w:rPr>
        <w:t xml:space="preserve"> </w:t>
      </w:r>
      <w:r w:rsidRPr="00E618D2">
        <w:rPr>
          <w:i/>
          <w:iCs/>
          <w:sz w:val="24"/>
          <w:szCs w:val="24"/>
        </w:rPr>
        <w:t>Accessibility Basics: Writing for Accessibility in Online Learning Environments</w:t>
      </w:r>
    </w:p>
    <w:p w14:paraId="343F26FD" w14:textId="77777777" w:rsidR="007E0AAC" w:rsidRDefault="007E0AAC" w:rsidP="00FB5060">
      <w:pPr>
        <w:ind w:left="360"/>
        <w:rPr>
          <w:b/>
          <w:bCs/>
          <w:i/>
          <w:iCs/>
          <w:sz w:val="24"/>
          <w:szCs w:val="24"/>
        </w:rPr>
      </w:pPr>
    </w:p>
    <w:p w14:paraId="31653120" w14:textId="3EF8F66E" w:rsidR="00E618D2" w:rsidRPr="0025391B" w:rsidRDefault="00E618D2" w:rsidP="00E618D2">
      <w:pPr>
        <w:ind w:left="360"/>
        <w:rPr>
          <w:sz w:val="24"/>
          <w:szCs w:val="24"/>
        </w:rPr>
      </w:pPr>
      <w:r w:rsidRPr="0025391B">
        <w:rPr>
          <w:b/>
          <w:bCs/>
          <w:sz w:val="24"/>
          <w:szCs w:val="24"/>
        </w:rPr>
        <w:t>Description:</w:t>
      </w:r>
      <w:r w:rsidRPr="0025391B">
        <w:rPr>
          <w:sz w:val="24"/>
          <w:szCs w:val="24"/>
        </w:rPr>
        <w:t xml:space="preserve"> The accessibility of materials used in e-learning environments has been a subject of growing concern over the past decade, especially with the significant turn to online education during the COVID-19 pandemic. This resource is designed to guide those new to the topic of accessibility and accessible design. While the various topics contained within are searchable on the web, this text strives to pull together disparate design resources for ensuring accessibility of content intended for electronic dissemination. In short, this is a basic “How-To” guide for making your media and documents accessible in e-learning environments and across the larger world wide web.   </w:t>
      </w:r>
    </w:p>
    <w:p w14:paraId="198585C4" w14:textId="77777777" w:rsidR="00E618D2" w:rsidRPr="00E618D2" w:rsidRDefault="00E618D2" w:rsidP="00E618D2">
      <w:pPr>
        <w:ind w:left="360"/>
        <w:rPr>
          <w:i/>
          <w:iCs/>
          <w:sz w:val="24"/>
          <w:szCs w:val="24"/>
        </w:rPr>
      </w:pPr>
    </w:p>
    <w:p w14:paraId="08A343CA" w14:textId="21E24CE9" w:rsidR="00D62406" w:rsidRDefault="00E618D2" w:rsidP="00FB5060">
      <w:pPr>
        <w:ind w:left="360"/>
        <w:rPr>
          <w:rStyle w:val="eop"/>
          <w:rFonts w:ascii="Calibri" w:hAnsi="Calibri" w:cs="Calibri"/>
          <w:color w:val="000000"/>
          <w:shd w:val="clear" w:color="auto" w:fill="FFFFFF"/>
        </w:rPr>
      </w:pPr>
      <w:r w:rsidRPr="00E618D2">
        <w:rPr>
          <w:rStyle w:val="normaltextrun"/>
          <w:rFonts w:ascii="Calibri" w:hAnsi="Calibri" w:cs="Calibri"/>
          <w:b/>
          <w:bCs/>
          <w:color w:val="000000"/>
          <w:shd w:val="clear" w:color="auto" w:fill="FFFFFF"/>
        </w:rPr>
        <w:t>License:</w:t>
      </w:r>
      <w:r>
        <w:rPr>
          <w:rStyle w:val="normaltextrun"/>
          <w:rFonts w:ascii="Calibri" w:hAnsi="Calibri" w:cs="Calibri"/>
          <w:color w:val="000000"/>
          <w:shd w:val="clear" w:color="auto" w:fill="FFFFFF"/>
        </w:rPr>
        <w:t xml:space="preserve"> </w:t>
      </w:r>
      <w:r w:rsidR="00D62406">
        <w:rPr>
          <w:rStyle w:val="normaltextrun"/>
          <w:rFonts w:ascii="Calibri" w:hAnsi="Calibri" w:cs="Calibri"/>
          <w:color w:val="000000"/>
          <w:shd w:val="clear" w:color="auto" w:fill="FFFFFF"/>
        </w:rPr>
        <w:t xml:space="preserve">This work is licensed under a </w:t>
      </w:r>
      <w:hyperlink r:id="rId10" w:tgtFrame="_blank" w:history="1">
        <w:r w:rsidR="00D62406">
          <w:rPr>
            <w:rStyle w:val="normaltextrun"/>
            <w:rFonts w:ascii="Calibri" w:hAnsi="Calibri" w:cs="Calibri"/>
            <w:color w:val="000000"/>
            <w:u w:val="single"/>
            <w:shd w:val="clear" w:color="auto" w:fill="E1E3E6"/>
          </w:rPr>
          <w:t>Creative Commons Attribution 4.0 International License</w:t>
        </w:r>
      </w:hyperlink>
      <w:r w:rsidR="00D62406">
        <w:rPr>
          <w:rStyle w:val="normaltextrun"/>
          <w:rFonts w:ascii="Calibri" w:hAnsi="Calibri" w:cs="Calibri"/>
          <w:color w:val="000000"/>
          <w:shd w:val="clear" w:color="auto" w:fill="FFFFFF"/>
        </w:rPr>
        <w:t>.</w:t>
      </w:r>
      <w:r w:rsidR="00D62406">
        <w:rPr>
          <w:rStyle w:val="eop"/>
          <w:rFonts w:ascii="Calibri" w:hAnsi="Calibri" w:cs="Calibri"/>
          <w:color w:val="000000"/>
          <w:shd w:val="clear" w:color="auto" w:fill="FFFFFF"/>
        </w:rPr>
        <w:t> </w:t>
      </w:r>
    </w:p>
    <w:p w14:paraId="126B8A36" w14:textId="77777777" w:rsidR="00DF3EEB" w:rsidRPr="008D62DC" w:rsidRDefault="00DF3EEB" w:rsidP="00FB5060">
      <w:pPr>
        <w:ind w:left="360"/>
        <w:rPr>
          <w:b/>
          <w:bCs/>
          <w:i/>
          <w:sz w:val="24"/>
          <w:szCs w:val="24"/>
        </w:rPr>
      </w:pPr>
    </w:p>
    <w:p w14:paraId="2569A2E6" w14:textId="6D3A7D9F" w:rsidR="00B90CC8" w:rsidRDefault="007C0B4B" w:rsidP="00CF04DC">
      <w:pPr>
        <w:pStyle w:val="Heading1"/>
        <w:numPr>
          <w:ilvl w:val="0"/>
          <w:numId w:val="17"/>
        </w:numPr>
        <w:ind w:left="360"/>
      </w:pPr>
      <w:r>
        <w:t>Materials Links</w:t>
      </w:r>
    </w:p>
    <w:p w14:paraId="0385AB0B" w14:textId="483F8D27" w:rsidR="007C0B4B" w:rsidRPr="00FB5060" w:rsidRDefault="007C0B4B" w:rsidP="00FB5060">
      <w:pPr>
        <w:ind w:left="360"/>
        <w:rPr>
          <w:b/>
          <w:i/>
          <w:sz w:val="24"/>
          <w:szCs w:val="24"/>
        </w:rPr>
      </w:pPr>
      <w:r w:rsidRPr="00CF04DC">
        <w:rPr>
          <w:i/>
          <w:sz w:val="24"/>
          <w:szCs w:val="24"/>
        </w:rPr>
        <w:t xml:space="preserve">If you are hosting your materials in places other than </w:t>
      </w:r>
      <w:proofErr w:type="spellStart"/>
      <w:r w:rsidR="00F97F8A">
        <w:rPr>
          <w:i/>
          <w:sz w:val="24"/>
          <w:szCs w:val="24"/>
        </w:rPr>
        <w:t>OpenALG</w:t>
      </w:r>
      <w:proofErr w:type="spellEnd"/>
      <w:r w:rsidRPr="00CF04DC">
        <w:rPr>
          <w:i/>
          <w:sz w:val="24"/>
          <w:szCs w:val="24"/>
        </w:rPr>
        <w:t xml:space="preserve">, please provide these links in this section. Otherwise, leave blank. </w:t>
      </w:r>
      <w:r w:rsidR="005C6C27">
        <w:rPr>
          <w:i/>
          <w:sz w:val="24"/>
          <w:szCs w:val="24"/>
        </w:rPr>
        <w:t>Note: we cannot access D2L or Canvas links.</w:t>
      </w:r>
    </w:p>
    <w:p w14:paraId="5D2930F4" w14:textId="70758229" w:rsidR="00471C68" w:rsidRPr="004F2656" w:rsidRDefault="00471C68" w:rsidP="00CF04DC">
      <w:pPr>
        <w:pStyle w:val="Heading1"/>
        <w:numPr>
          <w:ilvl w:val="0"/>
          <w:numId w:val="17"/>
        </w:numPr>
        <w:ind w:left="360"/>
      </w:pPr>
      <w:proofErr w:type="gramStart"/>
      <w:r w:rsidRPr="004F2656">
        <w:t>Future Plans</w:t>
      </w:r>
      <w:proofErr w:type="gramEnd"/>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28B18B0A" w14:textId="6D04C2CD" w:rsidR="00BE04EA" w:rsidRPr="00A225C8" w:rsidRDefault="007C0B4B" w:rsidP="00BE04EA">
      <w:pPr>
        <w:pStyle w:val="ListParagraph"/>
        <w:numPr>
          <w:ilvl w:val="0"/>
          <w:numId w:val="4"/>
        </w:numPr>
        <w:rPr>
          <w:b/>
          <w:sz w:val="24"/>
          <w:szCs w:val="24"/>
        </w:rPr>
      </w:pPr>
      <w:r>
        <w:rPr>
          <w:i/>
          <w:sz w:val="24"/>
          <w:szCs w:val="24"/>
        </w:rPr>
        <w:t xml:space="preserve">Describe any plans to revise or add to these materials in the future. </w:t>
      </w:r>
    </w:p>
    <w:p w14:paraId="2D749767" w14:textId="77777777" w:rsidR="00A225C8" w:rsidRDefault="00A225C8" w:rsidP="00016D30">
      <w:pPr>
        <w:ind w:left="360"/>
        <w:rPr>
          <w:bCs/>
          <w:sz w:val="24"/>
          <w:szCs w:val="24"/>
        </w:rPr>
      </w:pPr>
    </w:p>
    <w:p w14:paraId="14CE42ED" w14:textId="66397604" w:rsidR="00A225C8" w:rsidRDefault="00A225C8" w:rsidP="00617DFC">
      <w:pPr>
        <w:rPr>
          <w:bCs/>
          <w:sz w:val="24"/>
          <w:szCs w:val="24"/>
        </w:rPr>
      </w:pPr>
      <w:r>
        <w:rPr>
          <w:bCs/>
          <w:sz w:val="24"/>
          <w:szCs w:val="24"/>
        </w:rPr>
        <w:t>Presentations</w:t>
      </w:r>
      <w:r w:rsidR="00286661">
        <w:rPr>
          <w:bCs/>
          <w:sz w:val="24"/>
          <w:szCs w:val="24"/>
        </w:rPr>
        <w:t>:</w:t>
      </w:r>
    </w:p>
    <w:p w14:paraId="3E3A19AB" w14:textId="6CE12827" w:rsidR="00016D30" w:rsidRDefault="00016D30" w:rsidP="00016D30">
      <w:pPr>
        <w:ind w:left="360"/>
        <w:rPr>
          <w:bCs/>
          <w:sz w:val="24"/>
          <w:szCs w:val="24"/>
        </w:rPr>
      </w:pPr>
      <w:r>
        <w:rPr>
          <w:bCs/>
          <w:sz w:val="24"/>
          <w:szCs w:val="24"/>
        </w:rPr>
        <w:t xml:space="preserve">Erin Bahl: </w:t>
      </w:r>
    </w:p>
    <w:p w14:paraId="55E9EFAC" w14:textId="2B37E3D7" w:rsidR="008165B5" w:rsidRDefault="008165B5" w:rsidP="008165B5">
      <w:pPr>
        <w:ind w:left="720"/>
        <w:rPr>
          <w:bCs/>
          <w:sz w:val="24"/>
          <w:szCs w:val="24"/>
        </w:rPr>
      </w:pPr>
      <w:r w:rsidRPr="008165B5">
        <w:rPr>
          <w:bCs/>
          <w:sz w:val="24"/>
          <w:szCs w:val="24"/>
        </w:rPr>
        <w:t xml:space="preserve">Panel: </w:t>
      </w:r>
      <w:r w:rsidR="002E7DBD">
        <w:rPr>
          <w:bCs/>
          <w:sz w:val="24"/>
          <w:szCs w:val="24"/>
        </w:rPr>
        <w:t>“</w:t>
      </w:r>
      <w:r w:rsidRPr="008165B5">
        <w:rPr>
          <w:bCs/>
          <w:sz w:val="24"/>
          <w:szCs w:val="24"/>
        </w:rPr>
        <w:t>Hope Is Inclusive Action: Methods for Disability Inclusion and Access in Higher Education</w:t>
      </w:r>
      <w:r w:rsidR="002E7DBD">
        <w:rPr>
          <w:bCs/>
          <w:sz w:val="24"/>
          <w:szCs w:val="24"/>
        </w:rPr>
        <w:t>”</w:t>
      </w:r>
      <w:r>
        <w:rPr>
          <w:bCs/>
          <w:sz w:val="24"/>
          <w:szCs w:val="24"/>
        </w:rPr>
        <w:t xml:space="preserve"> (CCCC 2023, </w:t>
      </w:r>
      <w:r w:rsidRPr="008165B5">
        <w:rPr>
          <w:bCs/>
          <w:sz w:val="24"/>
          <w:szCs w:val="24"/>
        </w:rPr>
        <w:t>15-18 February 2023</w:t>
      </w:r>
      <w:r>
        <w:rPr>
          <w:bCs/>
          <w:sz w:val="24"/>
          <w:szCs w:val="24"/>
        </w:rPr>
        <w:t>, virtual—pre-recorded)</w:t>
      </w:r>
    </w:p>
    <w:p w14:paraId="5D4B5BC8" w14:textId="05ECABCA" w:rsidR="000052BE" w:rsidRDefault="000052BE" w:rsidP="009D1201">
      <w:pPr>
        <w:ind w:left="720"/>
        <w:rPr>
          <w:bCs/>
          <w:sz w:val="24"/>
          <w:szCs w:val="24"/>
        </w:rPr>
      </w:pPr>
      <w:r>
        <w:rPr>
          <w:bCs/>
          <w:sz w:val="24"/>
          <w:szCs w:val="24"/>
        </w:rPr>
        <w:lastRenderedPageBreak/>
        <w:t>Proposed Panel: “</w:t>
      </w:r>
      <w:r w:rsidRPr="000052BE">
        <w:rPr>
          <w:bCs/>
          <w:sz w:val="24"/>
          <w:szCs w:val="24"/>
        </w:rPr>
        <w:t>An Abundance of Learning: Students Teaching Faculty About Diversity, Equity, Inclusion, and Belonging Through Innovative Research Projects</w:t>
      </w:r>
      <w:r>
        <w:rPr>
          <w:bCs/>
          <w:sz w:val="24"/>
          <w:szCs w:val="24"/>
        </w:rPr>
        <w:t>” (</w:t>
      </w:r>
      <w:r w:rsidR="00BE04EA">
        <w:rPr>
          <w:bCs/>
          <w:sz w:val="24"/>
          <w:szCs w:val="24"/>
        </w:rPr>
        <w:t>CCCC 2024</w:t>
      </w:r>
      <w:r>
        <w:rPr>
          <w:bCs/>
          <w:sz w:val="24"/>
          <w:szCs w:val="24"/>
        </w:rPr>
        <w:t>, proposal under review)</w:t>
      </w:r>
    </w:p>
    <w:p w14:paraId="1CC91016" w14:textId="3CCACA27" w:rsidR="000052BE" w:rsidRDefault="000052BE" w:rsidP="00BE04EA">
      <w:pPr>
        <w:ind w:left="360"/>
        <w:rPr>
          <w:bCs/>
          <w:sz w:val="24"/>
          <w:szCs w:val="24"/>
        </w:rPr>
      </w:pPr>
      <w:r>
        <w:rPr>
          <w:bCs/>
          <w:sz w:val="24"/>
          <w:szCs w:val="24"/>
        </w:rPr>
        <w:t>Stephen Bartlett</w:t>
      </w:r>
    </w:p>
    <w:p w14:paraId="7FCF9B68" w14:textId="5B657C30" w:rsidR="000052BE" w:rsidRDefault="000052BE" w:rsidP="009D1201">
      <w:pPr>
        <w:ind w:left="720"/>
        <w:rPr>
          <w:bCs/>
          <w:sz w:val="24"/>
          <w:szCs w:val="24"/>
        </w:rPr>
      </w:pPr>
      <w:r w:rsidRPr="000052BE">
        <w:rPr>
          <w:bCs/>
          <w:sz w:val="24"/>
          <w:szCs w:val="24"/>
        </w:rPr>
        <w:t xml:space="preserve">I will be presenting a series of sessions for the First Nations of Canada at the </w:t>
      </w:r>
      <w:proofErr w:type="spellStart"/>
      <w:r w:rsidRPr="000052BE">
        <w:rPr>
          <w:bCs/>
          <w:sz w:val="24"/>
          <w:szCs w:val="24"/>
        </w:rPr>
        <w:t>Maskwacis</w:t>
      </w:r>
      <w:proofErr w:type="spellEnd"/>
      <w:r w:rsidRPr="000052BE">
        <w:rPr>
          <w:bCs/>
          <w:sz w:val="24"/>
          <w:szCs w:val="24"/>
        </w:rPr>
        <w:t xml:space="preserve"> Cultural College Microlearning Series</w:t>
      </w:r>
    </w:p>
    <w:p w14:paraId="780DEEF7" w14:textId="2F0CE565" w:rsidR="00016D30" w:rsidRDefault="00016D30" w:rsidP="00BE04EA">
      <w:pPr>
        <w:ind w:left="360"/>
        <w:rPr>
          <w:bCs/>
          <w:sz w:val="24"/>
          <w:szCs w:val="24"/>
        </w:rPr>
      </w:pPr>
      <w:r>
        <w:rPr>
          <w:bCs/>
          <w:sz w:val="24"/>
          <w:szCs w:val="24"/>
        </w:rPr>
        <w:t xml:space="preserve">Jason </w:t>
      </w:r>
      <w:proofErr w:type="spellStart"/>
      <w:r>
        <w:rPr>
          <w:bCs/>
          <w:sz w:val="24"/>
          <w:szCs w:val="24"/>
        </w:rPr>
        <w:t>Rodenbeck</w:t>
      </w:r>
      <w:proofErr w:type="spellEnd"/>
    </w:p>
    <w:p w14:paraId="1A7D7148" w14:textId="12A603CE" w:rsidR="009D1201" w:rsidRDefault="00016D30" w:rsidP="009D1201">
      <w:pPr>
        <w:ind w:left="720"/>
        <w:rPr>
          <w:bCs/>
          <w:sz w:val="24"/>
          <w:szCs w:val="24"/>
        </w:rPr>
      </w:pPr>
      <w:r w:rsidRPr="00016D30">
        <w:rPr>
          <w:bCs/>
          <w:sz w:val="24"/>
          <w:szCs w:val="24"/>
        </w:rPr>
        <w:t xml:space="preserve">“Accessibility Solutions: From Adobe to </w:t>
      </w:r>
      <w:proofErr w:type="spellStart"/>
      <w:r w:rsidRPr="00016D30">
        <w:rPr>
          <w:bCs/>
          <w:sz w:val="24"/>
          <w:szCs w:val="24"/>
        </w:rPr>
        <w:t>Equidox</w:t>
      </w:r>
      <w:proofErr w:type="spellEnd"/>
      <w:r>
        <w:rPr>
          <w:bCs/>
          <w:sz w:val="24"/>
          <w:szCs w:val="24"/>
        </w:rPr>
        <w:t xml:space="preserve">”, </w:t>
      </w:r>
      <w:r w:rsidRPr="00016D30">
        <w:rPr>
          <w:bCs/>
          <w:sz w:val="24"/>
          <w:szCs w:val="24"/>
        </w:rPr>
        <w:t>D2L Fusion 2023 Conference</w:t>
      </w:r>
      <w:r>
        <w:rPr>
          <w:bCs/>
          <w:sz w:val="24"/>
          <w:szCs w:val="24"/>
        </w:rPr>
        <w:t xml:space="preserve">, </w:t>
      </w:r>
      <w:r w:rsidRPr="00016D30">
        <w:rPr>
          <w:bCs/>
          <w:sz w:val="24"/>
          <w:szCs w:val="24"/>
        </w:rPr>
        <w:t>Anaheim, CA | July 12-14, 2023</w:t>
      </w:r>
      <w:r>
        <w:rPr>
          <w:bCs/>
          <w:sz w:val="24"/>
          <w:szCs w:val="24"/>
        </w:rPr>
        <w:t xml:space="preserve"> (pre-recorded)</w:t>
      </w:r>
    </w:p>
    <w:p w14:paraId="3BB58FF0" w14:textId="53482AFD" w:rsidR="00C15C85" w:rsidRDefault="00C15C85" w:rsidP="00617DFC">
      <w:pPr>
        <w:rPr>
          <w:bCs/>
          <w:sz w:val="24"/>
          <w:szCs w:val="24"/>
        </w:rPr>
      </w:pPr>
      <w:r>
        <w:rPr>
          <w:bCs/>
          <w:sz w:val="24"/>
          <w:szCs w:val="24"/>
        </w:rPr>
        <w:t xml:space="preserve">Although there are currently no formalized plans for revision, we will continue to learn from further feedback as we implement this resource in our classrooms and share it with colleagues. Based on feedback received, we may </w:t>
      </w:r>
      <w:r w:rsidR="009D1201">
        <w:rPr>
          <w:bCs/>
          <w:sz w:val="24"/>
          <w:szCs w:val="24"/>
        </w:rPr>
        <w:t xml:space="preserve">develop a new proposal for an </w:t>
      </w:r>
      <w:r>
        <w:rPr>
          <w:bCs/>
          <w:sz w:val="24"/>
          <w:szCs w:val="24"/>
        </w:rPr>
        <w:t xml:space="preserve">ALG Continuous Improvement Grant </w:t>
      </w:r>
      <w:r w:rsidR="009D1201">
        <w:rPr>
          <w:bCs/>
          <w:sz w:val="24"/>
          <w:szCs w:val="24"/>
        </w:rPr>
        <w:t>project</w:t>
      </w:r>
      <w:r>
        <w:rPr>
          <w:bCs/>
          <w:sz w:val="24"/>
          <w:szCs w:val="24"/>
        </w:rPr>
        <w:t xml:space="preserve"> to further build on these initial foundations established through developing this resource. </w:t>
      </w:r>
    </w:p>
    <w:p w14:paraId="4EC265E0" w14:textId="77777777" w:rsidR="00A225C8" w:rsidRDefault="00A225C8" w:rsidP="00A2052C">
      <w:pPr>
        <w:ind w:left="720"/>
        <w:rPr>
          <w:bCs/>
          <w:sz w:val="24"/>
          <w:szCs w:val="24"/>
        </w:rPr>
      </w:pPr>
    </w:p>
    <w:p w14:paraId="172B42F4" w14:textId="77777777" w:rsidR="00A225C8" w:rsidRPr="00BE04EA" w:rsidRDefault="00A225C8" w:rsidP="00A2052C">
      <w:pPr>
        <w:ind w:left="720"/>
        <w:rPr>
          <w:bCs/>
          <w:sz w:val="24"/>
          <w:szCs w:val="24"/>
        </w:rPr>
      </w:pPr>
    </w:p>
    <w:sectPr w:rsidR="00A225C8" w:rsidRPr="00BE04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2C90"/>
    <w:multiLevelType w:val="hybridMultilevel"/>
    <w:tmpl w:val="7938B4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16794618">
    <w:abstractNumId w:val="9"/>
  </w:num>
  <w:num w:numId="2" w16cid:durableId="1335651214">
    <w:abstractNumId w:val="15"/>
  </w:num>
  <w:num w:numId="3" w16cid:durableId="54473218">
    <w:abstractNumId w:val="16"/>
  </w:num>
  <w:num w:numId="4" w16cid:durableId="439690346">
    <w:abstractNumId w:val="13"/>
  </w:num>
  <w:num w:numId="5" w16cid:durableId="2074961342">
    <w:abstractNumId w:val="5"/>
  </w:num>
  <w:num w:numId="6" w16cid:durableId="1491755012">
    <w:abstractNumId w:val="6"/>
  </w:num>
  <w:num w:numId="7" w16cid:durableId="958147328">
    <w:abstractNumId w:val="3"/>
  </w:num>
  <w:num w:numId="8" w16cid:durableId="642082849">
    <w:abstractNumId w:val="8"/>
  </w:num>
  <w:num w:numId="9" w16cid:durableId="1776436116">
    <w:abstractNumId w:val="2"/>
  </w:num>
  <w:num w:numId="10" w16cid:durableId="234633806">
    <w:abstractNumId w:val="11"/>
  </w:num>
  <w:num w:numId="11" w16cid:durableId="1434087472">
    <w:abstractNumId w:val="1"/>
  </w:num>
  <w:num w:numId="12" w16cid:durableId="566456504">
    <w:abstractNumId w:val="12"/>
  </w:num>
  <w:num w:numId="13" w16cid:durableId="1762676976">
    <w:abstractNumId w:val="14"/>
  </w:num>
  <w:num w:numId="14" w16cid:durableId="985744601">
    <w:abstractNumId w:val="10"/>
  </w:num>
  <w:num w:numId="15" w16cid:durableId="1089931695">
    <w:abstractNumId w:val="4"/>
  </w:num>
  <w:num w:numId="16" w16cid:durableId="1707413681">
    <w:abstractNumId w:val="17"/>
  </w:num>
  <w:num w:numId="17" w16cid:durableId="2137215925">
    <w:abstractNumId w:val="7"/>
  </w:num>
  <w:num w:numId="18" w16cid:durableId="1450667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052BE"/>
    <w:rsid w:val="00016D30"/>
    <w:rsid w:val="00035101"/>
    <w:rsid w:val="00044DF3"/>
    <w:rsid w:val="000679DE"/>
    <w:rsid w:val="00071B22"/>
    <w:rsid w:val="00075E05"/>
    <w:rsid w:val="00082546"/>
    <w:rsid w:val="000A1BBB"/>
    <w:rsid w:val="000A4F9D"/>
    <w:rsid w:val="000B113D"/>
    <w:rsid w:val="000F2D27"/>
    <w:rsid w:val="00101A24"/>
    <w:rsid w:val="00130D7A"/>
    <w:rsid w:val="0015324D"/>
    <w:rsid w:val="001A218C"/>
    <w:rsid w:val="001B2107"/>
    <w:rsid w:val="001B63FA"/>
    <w:rsid w:val="001D51FD"/>
    <w:rsid w:val="001E0EE3"/>
    <w:rsid w:val="002024A0"/>
    <w:rsid w:val="0021554F"/>
    <w:rsid w:val="00240544"/>
    <w:rsid w:val="0025391B"/>
    <w:rsid w:val="002746BA"/>
    <w:rsid w:val="00286661"/>
    <w:rsid w:val="002E3F17"/>
    <w:rsid w:val="002E7DBD"/>
    <w:rsid w:val="00301AED"/>
    <w:rsid w:val="003038A8"/>
    <w:rsid w:val="003140A6"/>
    <w:rsid w:val="00346044"/>
    <w:rsid w:val="003A36F5"/>
    <w:rsid w:val="003E1BCB"/>
    <w:rsid w:val="004674B8"/>
    <w:rsid w:val="00471C68"/>
    <w:rsid w:val="0048459F"/>
    <w:rsid w:val="004B6F78"/>
    <w:rsid w:val="004C1DD0"/>
    <w:rsid w:val="004C6A68"/>
    <w:rsid w:val="004D1FF7"/>
    <w:rsid w:val="004D4C11"/>
    <w:rsid w:val="004F2656"/>
    <w:rsid w:val="00502067"/>
    <w:rsid w:val="005066CC"/>
    <w:rsid w:val="005212A0"/>
    <w:rsid w:val="005612FB"/>
    <w:rsid w:val="0057691B"/>
    <w:rsid w:val="0057795F"/>
    <w:rsid w:val="005C11E8"/>
    <w:rsid w:val="005C6C27"/>
    <w:rsid w:val="006063D2"/>
    <w:rsid w:val="00617DFC"/>
    <w:rsid w:val="0064223D"/>
    <w:rsid w:val="006824D4"/>
    <w:rsid w:val="00684A25"/>
    <w:rsid w:val="00687254"/>
    <w:rsid w:val="006A36A9"/>
    <w:rsid w:val="006B1E16"/>
    <w:rsid w:val="006D419A"/>
    <w:rsid w:val="006F1313"/>
    <w:rsid w:val="0073273B"/>
    <w:rsid w:val="007673E1"/>
    <w:rsid w:val="00772C9F"/>
    <w:rsid w:val="007B3CE1"/>
    <w:rsid w:val="007C0B4B"/>
    <w:rsid w:val="007D607B"/>
    <w:rsid w:val="007E0AAC"/>
    <w:rsid w:val="007F6878"/>
    <w:rsid w:val="00802A2A"/>
    <w:rsid w:val="00811187"/>
    <w:rsid w:val="008165B5"/>
    <w:rsid w:val="008D62DC"/>
    <w:rsid w:val="00936246"/>
    <w:rsid w:val="00945780"/>
    <w:rsid w:val="009518F0"/>
    <w:rsid w:val="00987DD6"/>
    <w:rsid w:val="009A658D"/>
    <w:rsid w:val="009A6DD7"/>
    <w:rsid w:val="009D1201"/>
    <w:rsid w:val="00A05A77"/>
    <w:rsid w:val="00A12904"/>
    <w:rsid w:val="00A2052C"/>
    <w:rsid w:val="00A225C8"/>
    <w:rsid w:val="00AA2DA7"/>
    <w:rsid w:val="00AB1710"/>
    <w:rsid w:val="00AF4890"/>
    <w:rsid w:val="00B516BC"/>
    <w:rsid w:val="00B63F50"/>
    <w:rsid w:val="00B906AB"/>
    <w:rsid w:val="00B90CC8"/>
    <w:rsid w:val="00B912AE"/>
    <w:rsid w:val="00BA5EF6"/>
    <w:rsid w:val="00BE04EA"/>
    <w:rsid w:val="00BF3C8A"/>
    <w:rsid w:val="00BF4B3E"/>
    <w:rsid w:val="00C136AF"/>
    <w:rsid w:val="00C15C85"/>
    <w:rsid w:val="00C45872"/>
    <w:rsid w:val="00C47CD9"/>
    <w:rsid w:val="00C57B55"/>
    <w:rsid w:val="00C66162"/>
    <w:rsid w:val="00C749E5"/>
    <w:rsid w:val="00C807D1"/>
    <w:rsid w:val="00C80819"/>
    <w:rsid w:val="00C96BCC"/>
    <w:rsid w:val="00CB083C"/>
    <w:rsid w:val="00CD0CB5"/>
    <w:rsid w:val="00CF04DC"/>
    <w:rsid w:val="00D62406"/>
    <w:rsid w:val="00D8118C"/>
    <w:rsid w:val="00DC2BFF"/>
    <w:rsid w:val="00DD0F4C"/>
    <w:rsid w:val="00DD3803"/>
    <w:rsid w:val="00DD5245"/>
    <w:rsid w:val="00DF3EEB"/>
    <w:rsid w:val="00DF79E1"/>
    <w:rsid w:val="00E167BE"/>
    <w:rsid w:val="00E2461E"/>
    <w:rsid w:val="00E34FAA"/>
    <w:rsid w:val="00E618D2"/>
    <w:rsid w:val="00EA7057"/>
    <w:rsid w:val="00EE35AB"/>
    <w:rsid w:val="00EE6B36"/>
    <w:rsid w:val="00EE7C7E"/>
    <w:rsid w:val="00F06C5C"/>
    <w:rsid w:val="00F6782A"/>
    <w:rsid w:val="00F70B70"/>
    <w:rsid w:val="00F8769A"/>
    <w:rsid w:val="00F97F8A"/>
    <w:rsid w:val="00FB412A"/>
    <w:rsid w:val="00FB5060"/>
    <w:rsid w:val="00FB75B9"/>
    <w:rsid w:val="00FE39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16D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character" w:customStyle="1" w:styleId="Heading2Char">
    <w:name w:val="Heading 2 Char"/>
    <w:basedOn w:val="DefaultParagraphFont"/>
    <w:link w:val="Heading2"/>
    <w:uiPriority w:val="9"/>
    <w:rsid w:val="00016D30"/>
    <w:rPr>
      <w:rFonts w:asciiTheme="majorHAnsi" w:eastAsiaTheme="majorEastAsia" w:hAnsiTheme="majorHAnsi" w:cstheme="majorBidi"/>
      <w:color w:val="2E74B5" w:themeColor="accent1" w:themeShade="BF"/>
      <w:sz w:val="26"/>
      <w:szCs w:val="26"/>
    </w:rPr>
  </w:style>
  <w:style w:type="character" w:customStyle="1" w:styleId="normaltextrun">
    <w:name w:val="normaltextrun"/>
    <w:basedOn w:val="DefaultParagraphFont"/>
    <w:rsid w:val="00D62406"/>
  </w:style>
  <w:style w:type="character" w:customStyle="1" w:styleId="eop">
    <w:name w:val="eop"/>
    <w:basedOn w:val="DefaultParagraphFont"/>
    <w:rsid w:val="00D62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899433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g.manifoldapp.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creativecommons.org/licenses/by/4.0/" TargetMode="External"/><Relationship Id="rId4" Type="http://schemas.openxmlformats.org/officeDocument/2006/relationships/numbering" Target="numbering.xml"/><Relationship Id="rId9" Type="http://schemas.openxmlformats.org/officeDocument/2006/relationships/hyperlink" Target="https://creativecommons.org/share-your-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 ds:uri="9fff0862-dda6-4fd7-9437-296e7a0fcd45"/>
  </ds:schemaRefs>
</ds:datastoreItem>
</file>

<file path=customXml/itemProps2.xml><?xml version="1.0" encoding="utf-8"?>
<ds:datastoreItem xmlns:ds="http://schemas.openxmlformats.org/officeDocument/2006/customXml" ds:itemID="{94B0CDDC-AF5C-473B-88D4-6A181C1AA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6B8835-8062-4028-99B7-40F73E314F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1047</Words>
  <Characters>5972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Nakita Afaha</cp:lastModifiedBy>
  <cp:revision>86</cp:revision>
  <dcterms:created xsi:type="dcterms:W3CDTF">2018-08-02T12:26:00Z</dcterms:created>
  <dcterms:modified xsi:type="dcterms:W3CDTF">2023-05-19T18:56:00Z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y fmtid="{D5CDD505-2E9C-101B-9397-08002B2CF9AE}" pid="3" name="e1a5b98cdd71426dacb6e478c7a5882f">
    <vt:lpwstr/>
  </property>
  <property fmtid="{D5CDD505-2E9C-101B-9397-08002B2CF9AE}" pid="4" name="MediaServiceImageTags">
    <vt:lpwstr/>
  </property>
  <property fmtid="{D5CDD505-2E9C-101B-9397-08002B2CF9AE}" pid="5" name="TaxCatchAll">
    <vt:lpwstr/>
  </property>
  <property fmtid="{D5CDD505-2E9C-101B-9397-08002B2CF9AE}" pid="6" name="Wiki_x0020_Page_x0020_Categories">
    <vt:lpwstr/>
  </property>
  <property fmtid="{D5CDD505-2E9C-101B-9397-08002B2CF9AE}" pid="7" name="Wiki Page Categories">
    <vt:lpwstr/>
  </property>
</Properties>
</file>