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0BA171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MATH 1001 - Quantitative Skills and Reasoning</w:t>
      </w:r>
    </w:p>
    <w:p w14:paraId="313D3B8D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b/>
          <w:bCs/>
          <w:color w:val="000000"/>
        </w:rPr>
        <w:t>Hours Credit</w:t>
      </w:r>
      <w:r w:rsidRPr="0024554C">
        <w:rPr>
          <w:rFonts w:ascii="Times New Roman" w:hAnsi="Times New Roman" w:cs="Times New Roman"/>
          <w:color w:val="000000"/>
        </w:rPr>
        <w:t>: 3 hours</w:t>
      </w:r>
    </w:p>
    <w:p w14:paraId="15225F5A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b/>
          <w:bCs/>
          <w:color w:val="000000"/>
        </w:rPr>
        <w:t>Prerequisites</w:t>
      </w:r>
      <w:r w:rsidRPr="0024554C">
        <w:rPr>
          <w:rFonts w:ascii="Times New Roman" w:hAnsi="Times New Roman" w:cs="Times New Roman"/>
          <w:color w:val="000000"/>
        </w:rPr>
        <w:t>: None</w:t>
      </w:r>
    </w:p>
    <w:p w14:paraId="62B0ABFA" w14:textId="77777777" w:rsidR="0024554C" w:rsidRPr="0024554C" w:rsidRDefault="0024554C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2EC27D13" w14:textId="77777777" w:rsidR="0024554C" w:rsidRPr="0024554C" w:rsidRDefault="0024554C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Note: This course satisfies Area A2 of the Core Curriculum.</w:t>
      </w:r>
    </w:p>
    <w:p w14:paraId="764500EA" w14:textId="77777777" w:rsidR="0024554C" w:rsidRPr="0024554C" w:rsidRDefault="0024554C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04107FE" w14:textId="77777777" w:rsidR="00987E0B" w:rsidRPr="0024554C" w:rsidRDefault="00987E0B" w:rsidP="00987E0B">
      <w:pPr>
        <w:rPr>
          <w:rFonts w:ascii="Times New Roman" w:hAnsi="Times New Roman" w:cs="Times New Roman"/>
          <w:b/>
          <w:bCs/>
          <w:color w:val="C0504D"/>
        </w:rPr>
      </w:pPr>
      <w:r w:rsidRPr="0024554C">
        <w:rPr>
          <w:rFonts w:ascii="Times New Roman" w:hAnsi="Times New Roman" w:cs="Times New Roman"/>
          <w:b/>
          <w:bCs/>
          <w:color w:val="C0504D"/>
        </w:rPr>
        <w:t>COURSE INSTRUCTOR</w:t>
      </w:r>
      <w:r w:rsidRPr="0024554C">
        <w:rPr>
          <w:rFonts w:ascii="Times New Roman" w:hAnsi="Times New Roman" w:cs="Times New Roman"/>
          <w:b/>
          <w:bCs/>
          <w:color w:val="C0504D"/>
        </w:rPr>
        <w:tab/>
      </w:r>
      <w:r w:rsidRPr="0024554C">
        <w:rPr>
          <w:rFonts w:ascii="Times New Roman" w:hAnsi="Times New Roman" w:cs="Times New Roman"/>
          <w:b/>
          <w:bCs/>
          <w:color w:val="C0504D"/>
        </w:rPr>
        <w:tab/>
      </w:r>
      <w:r w:rsidRPr="0024554C">
        <w:rPr>
          <w:rFonts w:ascii="Times New Roman" w:hAnsi="Times New Roman" w:cs="Times New Roman"/>
          <w:b/>
          <w:bCs/>
          <w:color w:val="C0504D"/>
        </w:rPr>
        <w:tab/>
      </w:r>
      <w:r w:rsidRPr="0024554C">
        <w:rPr>
          <w:rFonts w:ascii="Times New Roman" w:hAnsi="Times New Roman" w:cs="Times New Roman"/>
          <w:b/>
          <w:bCs/>
          <w:color w:val="C0504D"/>
        </w:rPr>
        <w:tab/>
      </w:r>
      <w:r w:rsidRPr="0024554C">
        <w:rPr>
          <w:rFonts w:ascii="Times New Roman" w:hAnsi="Times New Roman" w:cs="Times New Roman"/>
          <w:b/>
          <w:bCs/>
          <w:color w:val="C0504D"/>
        </w:rPr>
        <w:tab/>
      </w:r>
    </w:p>
    <w:p w14:paraId="69DC8632" w14:textId="77777777" w:rsidR="00987E0B" w:rsidRPr="0024554C" w:rsidRDefault="00987E0B" w:rsidP="00987E0B">
      <w:pPr>
        <w:spacing w:after="0"/>
        <w:rPr>
          <w:rFonts w:ascii="Times New Roman" w:hAnsi="Times New Roman" w:cs="Times New Roman"/>
          <w:bCs/>
          <w:highlight w:val="yellow"/>
        </w:rPr>
      </w:pPr>
      <w:r w:rsidRPr="0024554C">
        <w:rPr>
          <w:rFonts w:ascii="Times New Roman" w:hAnsi="Times New Roman" w:cs="Times New Roman"/>
          <w:b/>
          <w:bCs/>
          <w:highlight w:val="yellow"/>
        </w:rPr>
        <w:t xml:space="preserve">Instructor:  </w:t>
      </w:r>
      <w:r w:rsidRPr="0024554C">
        <w:rPr>
          <w:rFonts w:ascii="Times New Roman" w:hAnsi="Times New Roman" w:cs="Times New Roman"/>
          <w:bCs/>
          <w:highlight w:val="yellow"/>
        </w:rPr>
        <w:tab/>
      </w:r>
      <w:r w:rsidRPr="0024554C">
        <w:rPr>
          <w:rFonts w:ascii="Times New Roman" w:hAnsi="Times New Roman" w:cs="Times New Roman"/>
          <w:bCs/>
          <w:highlight w:val="yellow"/>
        </w:rPr>
        <w:tab/>
      </w:r>
    </w:p>
    <w:p w14:paraId="4C150DB8" w14:textId="77777777" w:rsidR="00987E0B" w:rsidRPr="0024554C" w:rsidRDefault="00987E0B" w:rsidP="00987E0B">
      <w:pPr>
        <w:spacing w:after="0"/>
        <w:rPr>
          <w:rFonts w:ascii="Times New Roman" w:hAnsi="Times New Roman" w:cs="Times New Roman"/>
          <w:bCs/>
          <w:highlight w:val="yellow"/>
        </w:rPr>
      </w:pPr>
      <w:r w:rsidRPr="0024554C">
        <w:rPr>
          <w:rFonts w:ascii="Times New Roman" w:hAnsi="Times New Roman" w:cs="Times New Roman"/>
          <w:b/>
          <w:bCs/>
          <w:highlight w:val="yellow"/>
        </w:rPr>
        <w:t>Office:</w:t>
      </w:r>
      <w:r w:rsidRPr="0024554C">
        <w:rPr>
          <w:rFonts w:ascii="Times New Roman" w:hAnsi="Times New Roman" w:cs="Times New Roman"/>
          <w:bCs/>
          <w:highlight w:val="yellow"/>
        </w:rPr>
        <w:t xml:space="preserve">  </w:t>
      </w:r>
      <w:r w:rsidRPr="0024554C">
        <w:rPr>
          <w:rFonts w:ascii="Times New Roman" w:hAnsi="Times New Roman" w:cs="Times New Roman"/>
          <w:bCs/>
          <w:highlight w:val="yellow"/>
        </w:rPr>
        <w:tab/>
      </w:r>
      <w:r w:rsidRPr="0024554C">
        <w:rPr>
          <w:rFonts w:ascii="Times New Roman" w:hAnsi="Times New Roman" w:cs="Times New Roman"/>
          <w:bCs/>
          <w:highlight w:val="yellow"/>
        </w:rPr>
        <w:tab/>
      </w:r>
      <w:r w:rsidRPr="0024554C">
        <w:rPr>
          <w:rFonts w:ascii="Times New Roman" w:hAnsi="Times New Roman" w:cs="Times New Roman"/>
          <w:bCs/>
          <w:highlight w:val="yellow"/>
        </w:rPr>
        <w:tab/>
      </w:r>
      <w:r w:rsidRPr="0024554C">
        <w:rPr>
          <w:rFonts w:ascii="Times New Roman" w:hAnsi="Times New Roman" w:cs="Times New Roman"/>
          <w:bCs/>
          <w:highlight w:val="yellow"/>
        </w:rPr>
        <w:tab/>
      </w:r>
      <w:r w:rsidRPr="0024554C">
        <w:rPr>
          <w:rFonts w:ascii="Times New Roman" w:hAnsi="Times New Roman" w:cs="Times New Roman"/>
          <w:bCs/>
          <w:highlight w:val="yellow"/>
        </w:rPr>
        <w:tab/>
      </w:r>
      <w:r w:rsidRPr="0024554C">
        <w:rPr>
          <w:rFonts w:ascii="Times New Roman" w:hAnsi="Times New Roman" w:cs="Times New Roman"/>
          <w:bCs/>
          <w:highlight w:val="yellow"/>
        </w:rPr>
        <w:tab/>
      </w:r>
    </w:p>
    <w:p w14:paraId="5EBC38B7" w14:textId="77777777" w:rsidR="00987E0B" w:rsidRPr="0024554C" w:rsidRDefault="00987E0B" w:rsidP="00987E0B">
      <w:pPr>
        <w:spacing w:after="0"/>
        <w:rPr>
          <w:rFonts w:ascii="Times New Roman" w:hAnsi="Times New Roman" w:cs="Times New Roman"/>
          <w:bCs/>
          <w:highlight w:val="yellow"/>
        </w:rPr>
      </w:pPr>
      <w:r w:rsidRPr="0024554C">
        <w:rPr>
          <w:rFonts w:ascii="Times New Roman" w:hAnsi="Times New Roman" w:cs="Times New Roman"/>
          <w:b/>
          <w:bCs/>
          <w:highlight w:val="yellow"/>
        </w:rPr>
        <w:t>Email:</w:t>
      </w:r>
      <w:r w:rsidRPr="0024554C">
        <w:rPr>
          <w:rFonts w:ascii="Times New Roman" w:hAnsi="Times New Roman" w:cs="Times New Roman"/>
          <w:bCs/>
          <w:highlight w:val="yellow"/>
        </w:rPr>
        <w:t xml:space="preserve">  </w:t>
      </w:r>
    </w:p>
    <w:p w14:paraId="75D89B65" w14:textId="77777777" w:rsidR="00987E0B" w:rsidRPr="0024554C" w:rsidRDefault="00987E0B" w:rsidP="00987E0B">
      <w:pPr>
        <w:spacing w:after="0"/>
        <w:rPr>
          <w:rFonts w:ascii="Times New Roman" w:hAnsi="Times New Roman" w:cs="Times New Roman"/>
          <w:bCs/>
          <w:highlight w:val="yellow"/>
        </w:rPr>
      </w:pPr>
      <w:r w:rsidRPr="0024554C">
        <w:rPr>
          <w:rFonts w:ascii="Times New Roman" w:hAnsi="Times New Roman" w:cs="Times New Roman"/>
          <w:b/>
          <w:bCs/>
          <w:highlight w:val="yellow"/>
        </w:rPr>
        <w:t>Phone:</w:t>
      </w:r>
    </w:p>
    <w:p w14:paraId="11CE6682" w14:textId="77777777" w:rsidR="00987E0B" w:rsidRPr="0024554C" w:rsidRDefault="00987E0B" w:rsidP="00987E0B">
      <w:pPr>
        <w:spacing w:after="0"/>
        <w:rPr>
          <w:rFonts w:ascii="Times New Roman" w:hAnsi="Times New Roman" w:cs="Times New Roman"/>
          <w:b/>
          <w:bCs/>
          <w:highlight w:val="yellow"/>
        </w:rPr>
      </w:pPr>
    </w:p>
    <w:p w14:paraId="363F4399" w14:textId="77777777" w:rsidR="00987E0B" w:rsidRPr="0024554C" w:rsidRDefault="00987E0B" w:rsidP="00987E0B">
      <w:pPr>
        <w:spacing w:after="0"/>
        <w:rPr>
          <w:rFonts w:ascii="Times New Roman" w:hAnsi="Times New Roman" w:cs="Times New Roman"/>
          <w:b/>
          <w:bCs/>
        </w:rPr>
      </w:pPr>
      <w:r w:rsidRPr="0024554C">
        <w:rPr>
          <w:rFonts w:ascii="Times New Roman" w:hAnsi="Times New Roman" w:cs="Times New Roman"/>
          <w:b/>
          <w:bCs/>
          <w:highlight w:val="yellow"/>
        </w:rPr>
        <w:t>OFFICE HOURS</w:t>
      </w:r>
    </w:p>
    <w:p w14:paraId="34110B2A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0CE62825" w14:textId="77777777" w:rsidR="0024554C" w:rsidRPr="0024554C" w:rsidRDefault="0024554C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49EDDC4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C1504D"/>
        </w:rPr>
      </w:pPr>
      <w:r w:rsidRPr="0024554C">
        <w:rPr>
          <w:rFonts w:ascii="Times New Roman" w:hAnsi="Times New Roman" w:cs="Times New Roman"/>
          <w:b/>
          <w:bCs/>
          <w:color w:val="C1504D"/>
        </w:rPr>
        <w:t>REQUIRED COURSE MATERIALS</w:t>
      </w:r>
    </w:p>
    <w:p w14:paraId="0E4E23E8" w14:textId="66FA261E" w:rsidR="00987E0B" w:rsidRDefault="00987E0B" w:rsidP="008A0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4061"/>
        </w:rPr>
      </w:pPr>
      <w:r w:rsidRPr="0024554C">
        <w:rPr>
          <w:rFonts w:ascii="Times New Roman" w:hAnsi="Times New Roman" w:cs="Times New Roman"/>
          <w:color w:val="244061"/>
        </w:rPr>
        <w:t>TEXT</w:t>
      </w:r>
      <w:r w:rsidR="008A0E2F">
        <w:rPr>
          <w:rFonts w:ascii="Times New Roman" w:hAnsi="Times New Roman" w:cs="Times New Roman"/>
          <w:color w:val="244061"/>
        </w:rPr>
        <w:t xml:space="preserve">: Quantitative Skills and Reasoning, MATH 1001 Textbook for UWG which is available FREE in </w:t>
      </w:r>
      <w:proofErr w:type="spellStart"/>
      <w:r w:rsidR="008A0E2F">
        <w:rPr>
          <w:rFonts w:ascii="Times New Roman" w:hAnsi="Times New Roman" w:cs="Times New Roman"/>
          <w:color w:val="244061"/>
        </w:rPr>
        <w:t>CourseDen</w:t>
      </w:r>
      <w:proofErr w:type="spellEnd"/>
      <w:r w:rsidR="008A0E2F">
        <w:rPr>
          <w:rFonts w:ascii="Times New Roman" w:hAnsi="Times New Roman" w:cs="Times New Roman"/>
          <w:color w:val="244061"/>
        </w:rPr>
        <w:t>.  This text was made available from an Affordable Learning Georgia grant.</w:t>
      </w:r>
    </w:p>
    <w:p w14:paraId="25952BD6" w14:textId="66BF6989" w:rsidR="008A0E2F" w:rsidRDefault="008A0E2F" w:rsidP="008A0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4061"/>
        </w:rPr>
      </w:pPr>
    </w:p>
    <w:p w14:paraId="5840A0D5" w14:textId="39CCB223" w:rsidR="008A0E2F" w:rsidRPr="0024554C" w:rsidRDefault="008A0E2F" w:rsidP="008A0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244061"/>
        </w:rPr>
        <w:t xml:space="preserve">In addition, your instructor may require a </w:t>
      </w:r>
      <w:proofErr w:type="spellStart"/>
      <w:r>
        <w:rPr>
          <w:rFonts w:ascii="Times New Roman" w:hAnsi="Times New Roman" w:cs="Times New Roman"/>
          <w:color w:val="244061"/>
        </w:rPr>
        <w:t>MyOpenMath</w:t>
      </w:r>
      <w:proofErr w:type="spellEnd"/>
      <w:r>
        <w:rPr>
          <w:rFonts w:ascii="Times New Roman" w:hAnsi="Times New Roman" w:cs="Times New Roman"/>
          <w:color w:val="244061"/>
        </w:rPr>
        <w:t xml:space="preserve"> account for your homework assignments. </w:t>
      </w:r>
      <w:proofErr w:type="spellStart"/>
      <w:r>
        <w:rPr>
          <w:rFonts w:ascii="Times New Roman" w:hAnsi="Times New Roman" w:cs="Times New Roman"/>
          <w:color w:val="244061"/>
        </w:rPr>
        <w:t>MyOpenMath</w:t>
      </w:r>
      <w:proofErr w:type="spellEnd"/>
      <w:r>
        <w:rPr>
          <w:rFonts w:ascii="Times New Roman" w:hAnsi="Times New Roman" w:cs="Times New Roman"/>
          <w:color w:val="244061"/>
        </w:rPr>
        <w:t xml:space="preserve"> is also FREE. </w:t>
      </w:r>
    </w:p>
    <w:p w14:paraId="66C442FD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124AC2BC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C1504D"/>
        </w:rPr>
      </w:pPr>
      <w:r w:rsidRPr="0024554C">
        <w:rPr>
          <w:rFonts w:ascii="Times New Roman" w:hAnsi="Times New Roman" w:cs="Times New Roman"/>
          <w:b/>
          <w:bCs/>
          <w:color w:val="C1504D"/>
        </w:rPr>
        <w:t>Courses Description</w:t>
      </w:r>
    </w:p>
    <w:p w14:paraId="591D67C8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This course is an alternative in Area A of the Core Curriculum and is not intended to</w:t>
      </w:r>
    </w:p>
    <w:p w14:paraId="58235A6B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supply sufficient algebraic background for students who intend to take Pre-calculus or the Calculus sequence for science majors. This course places quantitative skills and</w:t>
      </w:r>
    </w:p>
    <w:p w14:paraId="5F5090E3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reasoning in the context of experiences that students will likely encounter. It emphasizes processing information in context from a variety of representations, understanding of both the information and the processing, and understanding which conclusions can be reasonably determined.</w:t>
      </w:r>
    </w:p>
    <w:p w14:paraId="30D34263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33A69559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C1504D"/>
        </w:rPr>
      </w:pPr>
      <w:r w:rsidRPr="0024554C">
        <w:rPr>
          <w:rFonts w:ascii="Times New Roman" w:hAnsi="Times New Roman" w:cs="Times New Roman"/>
          <w:b/>
          <w:bCs/>
          <w:color w:val="C1504D"/>
        </w:rPr>
        <w:t>Learning Outcomes</w:t>
      </w:r>
    </w:p>
    <w:p w14:paraId="18BC58D1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Upon successful completion of this course students will demonstrate the ability to:</w:t>
      </w:r>
    </w:p>
    <w:p w14:paraId="0CA80978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1. Interpret a wide variety of quantitative information</w:t>
      </w:r>
    </w:p>
    <w:p w14:paraId="257FF545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2. Use mathematical reasoning to analyze quantitative information, and use it to reach conclusions in real-world contexts.</w:t>
      </w:r>
    </w:p>
    <w:p w14:paraId="38F12624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3. Understand how mathematics and quantitative reasoning are an integral part of society and history</w:t>
      </w:r>
    </w:p>
    <w:p w14:paraId="16511743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4. Process information and develop procedures for solving problems.</w:t>
      </w:r>
    </w:p>
    <w:p w14:paraId="3FF61332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5. Use different units and formats of numbers including metric system and percentages.</w:t>
      </w:r>
    </w:p>
    <w:p w14:paraId="5E4B454C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6. Understand and deal with uncertainty in mathematics</w:t>
      </w:r>
    </w:p>
    <w:p w14:paraId="08AE502D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7. Be able to interpret and calculate financial information including interest and loans.</w:t>
      </w:r>
    </w:p>
    <w:p w14:paraId="2246807A" w14:textId="77777777" w:rsidR="00987E0B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8. Understand and interpret statistical results found in the media and society.</w:t>
      </w:r>
    </w:p>
    <w:p w14:paraId="05BB8FA8" w14:textId="77777777" w:rsidR="00636174" w:rsidRPr="0024554C" w:rsidRDefault="00636174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0782D083" w14:textId="77777777" w:rsidR="0024554C" w:rsidRPr="0024554C" w:rsidRDefault="0024554C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In addition, since this course satisfies Area A2 of the Core, upon successful completion of the course:</w:t>
      </w:r>
    </w:p>
    <w:p w14:paraId="4085F912" w14:textId="77777777" w:rsidR="0024554C" w:rsidRPr="0024554C" w:rsidRDefault="0024554C" w:rsidP="0024554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24554C">
        <w:rPr>
          <w:rFonts w:ascii="Times New Roman" w:eastAsia="Times New Roman" w:hAnsi="Times New Roman" w:cs="Times New Roman"/>
        </w:rPr>
        <w:t>Students demonstrate a strong foundation in college-level mathematical concepts and principles.</w:t>
      </w:r>
    </w:p>
    <w:p w14:paraId="6EB10C51" w14:textId="77777777" w:rsidR="0024554C" w:rsidRPr="0024554C" w:rsidRDefault="0024554C" w:rsidP="0024554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24554C">
        <w:rPr>
          <w:rFonts w:ascii="Times New Roman" w:eastAsia="Times New Roman" w:hAnsi="Times New Roman" w:cs="Times New Roman"/>
        </w:rPr>
        <w:t>Students demonstrate the ability to apply symbolic representations to model and solve real-world problems.</w:t>
      </w:r>
    </w:p>
    <w:p w14:paraId="19326508" w14:textId="77777777" w:rsidR="0024554C" w:rsidRPr="0024554C" w:rsidRDefault="0024554C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06866A7" w14:textId="5C68806E" w:rsidR="008A0E2F" w:rsidRDefault="008A0E2F" w:rsidP="008A0E2F">
      <w:pPr>
        <w:rPr>
          <w:b/>
          <w:color w:val="C0504D"/>
        </w:rPr>
      </w:pPr>
      <w:r>
        <w:rPr>
          <w:b/>
          <w:color w:val="C0504D"/>
        </w:rPr>
        <w:lastRenderedPageBreak/>
        <w:t>COURSE OUTLINE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7781"/>
      </w:tblGrid>
      <w:tr w:rsidR="008A0E2F" w:rsidRPr="00822F46" w14:paraId="3C4549BF" w14:textId="77777777" w:rsidTr="008A0E2F">
        <w:tc>
          <w:tcPr>
            <w:tcW w:w="1075" w:type="dxa"/>
            <w:shd w:val="clear" w:color="auto" w:fill="auto"/>
          </w:tcPr>
          <w:p w14:paraId="5036F8EC" w14:textId="77777777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Section</w:t>
            </w:r>
          </w:p>
        </w:tc>
        <w:tc>
          <w:tcPr>
            <w:tcW w:w="7781" w:type="dxa"/>
            <w:shd w:val="clear" w:color="auto" w:fill="auto"/>
          </w:tcPr>
          <w:p w14:paraId="67F850EC" w14:textId="77777777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Title</w:t>
            </w:r>
          </w:p>
        </w:tc>
      </w:tr>
      <w:tr w:rsidR="008A0E2F" w:rsidRPr="00822F46" w14:paraId="65408F59" w14:textId="77777777" w:rsidTr="008A0E2F">
        <w:trPr>
          <w:trHeight w:val="242"/>
        </w:trPr>
        <w:tc>
          <w:tcPr>
            <w:tcW w:w="1075" w:type="dxa"/>
            <w:shd w:val="clear" w:color="auto" w:fill="auto"/>
          </w:tcPr>
          <w:p w14:paraId="492B0053" w14:textId="18732641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781" w:type="dxa"/>
            <w:shd w:val="clear" w:color="auto" w:fill="auto"/>
          </w:tcPr>
          <w:p w14:paraId="11B84520" w14:textId="1BCC4B3F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Inductive and Deductive Reasoning</w:t>
            </w:r>
          </w:p>
        </w:tc>
      </w:tr>
      <w:tr w:rsidR="008A0E2F" w:rsidRPr="00822F46" w14:paraId="1D773A28" w14:textId="77777777" w:rsidTr="008A0E2F">
        <w:tc>
          <w:tcPr>
            <w:tcW w:w="1075" w:type="dxa"/>
            <w:shd w:val="clear" w:color="auto" w:fill="auto"/>
          </w:tcPr>
          <w:p w14:paraId="78C84868" w14:textId="53770514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7781" w:type="dxa"/>
            <w:shd w:val="clear" w:color="auto" w:fill="auto"/>
          </w:tcPr>
          <w:p w14:paraId="368EC062" w14:textId="43FF1E96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Estimation</w:t>
            </w:r>
          </w:p>
        </w:tc>
      </w:tr>
      <w:tr w:rsidR="008A0E2F" w:rsidRPr="00822F46" w14:paraId="4E350972" w14:textId="77777777" w:rsidTr="008A0E2F">
        <w:tc>
          <w:tcPr>
            <w:tcW w:w="1075" w:type="dxa"/>
            <w:shd w:val="clear" w:color="auto" w:fill="auto"/>
          </w:tcPr>
          <w:p w14:paraId="01FEE01C" w14:textId="6AB9D029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7781" w:type="dxa"/>
            <w:shd w:val="clear" w:color="auto" w:fill="auto"/>
          </w:tcPr>
          <w:p w14:paraId="29E841E7" w14:textId="36ABC8D6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Interpreting and Estimating Graphs</w:t>
            </w:r>
          </w:p>
        </w:tc>
      </w:tr>
      <w:tr w:rsidR="008A0E2F" w:rsidRPr="00822F46" w14:paraId="55C1E134" w14:textId="77777777" w:rsidTr="008A0E2F">
        <w:tc>
          <w:tcPr>
            <w:tcW w:w="1075" w:type="dxa"/>
            <w:shd w:val="clear" w:color="auto" w:fill="auto"/>
          </w:tcPr>
          <w:p w14:paraId="63B832AE" w14:textId="2A0F5314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7781" w:type="dxa"/>
            <w:shd w:val="clear" w:color="auto" w:fill="auto"/>
          </w:tcPr>
          <w:p w14:paraId="2C7D1601" w14:textId="47A9AF68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Problem Solving</w:t>
            </w:r>
          </w:p>
        </w:tc>
      </w:tr>
      <w:tr w:rsidR="008A0E2F" w:rsidRPr="00822F46" w14:paraId="0A0E9426" w14:textId="77777777" w:rsidTr="008A0E2F">
        <w:tc>
          <w:tcPr>
            <w:tcW w:w="1075" w:type="dxa"/>
            <w:shd w:val="clear" w:color="auto" w:fill="auto"/>
          </w:tcPr>
          <w:p w14:paraId="09E9749D" w14:textId="575C151D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7781" w:type="dxa"/>
            <w:shd w:val="clear" w:color="auto" w:fill="auto"/>
          </w:tcPr>
          <w:p w14:paraId="5C2B7404" w14:textId="09EF1568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Collecting Data</w:t>
            </w:r>
          </w:p>
        </w:tc>
      </w:tr>
      <w:tr w:rsidR="008A0E2F" w:rsidRPr="00822F46" w14:paraId="1AF49FA0" w14:textId="77777777" w:rsidTr="008A0E2F">
        <w:tc>
          <w:tcPr>
            <w:tcW w:w="1075" w:type="dxa"/>
            <w:shd w:val="clear" w:color="auto" w:fill="auto"/>
          </w:tcPr>
          <w:p w14:paraId="6C562F59" w14:textId="79B81A6A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7781" w:type="dxa"/>
            <w:shd w:val="clear" w:color="auto" w:fill="auto"/>
          </w:tcPr>
          <w:p w14:paraId="4163565A" w14:textId="546118D5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Summarizing Data</w:t>
            </w:r>
          </w:p>
        </w:tc>
      </w:tr>
      <w:tr w:rsidR="008A0E2F" w:rsidRPr="00822F46" w14:paraId="32088849" w14:textId="77777777" w:rsidTr="008A0E2F">
        <w:tc>
          <w:tcPr>
            <w:tcW w:w="1075" w:type="dxa"/>
            <w:shd w:val="clear" w:color="auto" w:fill="auto"/>
          </w:tcPr>
          <w:p w14:paraId="359C8A4D" w14:textId="1E921714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7781" w:type="dxa"/>
            <w:shd w:val="clear" w:color="auto" w:fill="auto"/>
          </w:tcPr>
          <w:p w14:paraId="51728942" w14:textId="6D613BF6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Measures of Center</w:t>
            </w:r>
          </w:p>
        </w:tc>
      </w:tr>
      <w:tr w:rsidR="008A0E2F" w:rsidRPr="00822F46" w14:paraId="0590F07D" w14:textId="77777777" w:rsidTr="008A0E2F">
        <w:tc>
          <w:tcPr>
            <w:tcW w:w="1075" w:type="dxa"/>
            <w:shd w:val="clear" w:color="auto" w:fill="auto"/>
          </w:tcPr>
          <w:p w14:paraId="0C613429" w14:textId="51B3191D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7781" w:type="dxa"/>
            <w:shd w:val="clear" w:color="auto" w:fill="auto"/>
          </w:tcPr>
          <w:p w14:paraId="081AC1FE" w14:textId="50932BCE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Measures of</w:t>
            </w:r>
            <w:r w:rsidR="00FD0E2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Variance</w:t>
            </w:r>
          </w:p>
        </w:tc>
      </w:tr>
      <w:tr w:rsidR="008A0E2F" w:rsidRPr="00822F46" w14:paraId="147169EF" w14:textId="77777777" w:rsidTr="008A0E2F">
        <w:tc>
          <w:tcPr>
            <w:tcW w:w="1075" w:type="dxa"/>
            <w:shd w:val="clear" w:color="auto" w:fill="auto"/>
          </w:tcPr>
          <w:p w14:paraId="24669C44" w14:textId="0788D522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7781" w:type="dxa"/>
            <w:shd w:val="clear" w:color="auto" w:fill="auto"/>
          </w:tcPr>
          <w:p w14:paraId="0F85A0AB" w14:textId="1F071FC1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The Normal Distribution</w:t>
            </w:r>
          </w:p>
        </w:tc>
      </w:tr>
      <w:tr w:rsidR="008A0E2F" w:rsidRPr="00822F46" w14:paraId="285A9B6F" w14:textId="77777777" w:rsidTr="008A0E2F">
        <w:tc>
          <w:tcPr>
            <w:tcW w:w="1075" w:type="dxa"/>
            <w:shd w:val="clear" w:color="auto" w:fill="auto"/>
          </w:tcPr>
          <w:p w14:paraId="5DF9B6EF" w14:textId="6FA1A52E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7781" w:type="dxa"/>
            <w:shd w:val="clear" w:color="auto" w:fill="auto"/>
          </w:tcPr>
          <w:p w14:paraId="4FEBE91B" w14:textId="7CC1F04A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Probability Basics</w:t>
            </w:r>
          </w:p>
        </w:tc>
      </w:tr>
      <w:tr w:rsidR="008A0E2F" w:rsidRPr="00822F46" w14:paraId="4DDBCE43" w14:textId="77777777" w:rsidTr="008A0E2F">
        <w:tc>
          <w:tcPr>
            <w:tcW w:w="1075" w:type="dxa"/>
            <w:shd w:val="clear" w:color="auto" w:fill="auto"/>
          </w:tcPr>
          <w:p w14:paraId="3709B702" w14:textId="6348573F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7781" w:type="dxa"/>
            <w:shd w:val="clear" w:color="auto" w:fill="auto"/>
          </w:tcPr>
          <w:p w14:paraId="0ABE9EB9" w14:textId="07F8A41D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Counting Rules</w:t>
            </w:r>
          </w:p>
        </w:tc>
      </w:tr>
      <w:tr w:rsidR="008A0E2F" w:rsidRPr="00822F46" w14:paraId="2FB7950E" w14:textId="77777777" w:rsidTr="008A0E2F">
        <w:tc>
          <w:tcPr>
            <w:tcW w:w="1075" w:type="dxa"/>
            <w:shd w:val="clear" w:color="auto" w:fill="auto"/>
          </w:tcPr>
          <w:p w14:paraId="0484BCE1" w14:textId="2768F621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7781" w:type="dxa"/>
            <w:shd w:val="clear" w:color="auto" w:fill="auto"/>
          </w:tcPr>
          <w:p w14:paraId="734EC3B9" w14:textId="0BC0E575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More Probability</w:t>
            </w:r>
          </w:p>
        </w:tc>
      </w:tr>
      <w:tr w:rsidR="008A0E2F" w:rsidRPr="00822F46" w14:paraId="5AE1EC1D" w14:textId="77777777" w:rsidTr="008A0E2F">
        <w:tc>
          <w:tcPr>
            <w:tcW w:w="1075" w:type="dxa"/>
            <w:shd w:val="clear" w:color="auto" w:fill="auto"/>
          </w:tcPr>
          <w:p w14:paraId="30DE15E0" w14:textId="4455FEF2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7781" w:type="dxa"/>
            <w:shd w:val="clear" w:color="auto" w:fill="auto"/>
          </w:tcPr>
          <w:p w14:paraId="52F9F968" w14:textId="64E43433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Percent, Fraction, Decimal</w:t>
            </w:r>
          </w:p>
        </w:tc>
      </w:tr>
      <w:tr w:rsidR="008A0E2F" w:rsidRPr="00822F46" w14:paraId="440F3EFB" w14:textId="77777777" w:rsidTr="008A0E2F">
        <w:tc>
          <w:tcPr>
            <w:tcW w:w="1075" w:type="dxa"/>
            <w:shd w:val="clear" w:color="auto" w:fill="auto"/>
          </w:tcPr>
          <w:p w14:paraId="282BEC81" w14:textId="2DF1D767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7781" w:type="dxa"/>
            <w:shd w:val="clear" w:color="auto" w:fill="auto"/>
          </w:tcPr>
          <w:p w14:paraId="381CCDC8" w14:textId="1534CF8B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Simple and Compound Interest</w:t>
            </w:r>
          </w:p>
        </w:tc>
      </w:tr>
      <w:tr w:rsidR="008A0E2F" w:rsidRPr="00822F46" w14:paraId="24599B38" w14:textId="77777777" w:rsidTr="008A0E2F">
        <w:trPr>
          <w:trHeight w:val="287"/>
        </w:trPr>
        <w:tc>
          <w:tcPr>
            <w:tcW w:w="1075" w:type="dxa"/>
            <w:shd w:val="clear" w:color="auto" w:fill="auto"/>
          </w:tcPr>
          <w:p w14:paraId="17F00E69" w14:textId="55E9327B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7781" w:type="dxa"/>
            <w:shd w:val="clear" w:color="auto" w:fill="auto"/>
          </w:tcPr>
          <w:p w14:paraId="6F6582D8" w14:textId="217119A4" w:rsidR="008A0E2F" w:rsidRPr="00FD0E2C" w:rsidRDefault="008A0E2F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Annuities and Loans</w:t>
            </w:r>
          </w:p>
        </w:tc>
      </w:tr>
      <w:tr w:rsidR="008A0E2F" w:rsidRPr="00822F46" w14:paraId="4F60A7BE" w14:textId="77777777" w:rsidTr="008A0E2F">
        <w:tc>
          <w:tcPr>
            <w:tcW w:w="1075" w:type="dxa"/>
            <w:shd w:val="clear" w:color="auto" w:fill="auto"/>
          </w:tcPr>
          <w:p w14:paraId="1CA48BD6" w14:textId="3CD24CBB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7781" w:type="dxa"/>
            <w:shd w:val="clear" w:color="auto" w:fill="auto"/>
          </w:tcPr>
          <w:p w14:paraId="6F955812" w14:textId="7D65D597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Function Concepts</w:t>
            </w:r>
          </w:p>
        </w:tc>
      </w:tr>
      <w:tr w:rsidR="008A0E2F" w:rsidRPr="00822F46" w14:paraId="7568E317" w14:textId="77777777" w:rsidTr="008A0E2F">
        <w:tc>
          <w:tcPr>
            <w:tcW w:w="1075" w:type="dxa"/>
            <w:shd w:val="clear" w:color="auto" w:fill="auto"/>
          </w:tcPr>
          <w:p w14:paraId="4A1011F1" w14:textId="004ED1D6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7781" w:type="dxa"/>
            <w:shd w:val="clear" w:color="auto" w:fill="auto"/>
          </w:tcPr>
          <w:p w14:paraId="658D364C" w14:textId="3BD5FD18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Scatter Plots</w:t>
            </w:r>
          </w:p>
        </w:tc>
      </w:tr>
      <w:tr w:rsidR="008A0E2F" w:rsidRPr="00822F46" w14:paraId="20DC5188" w14:textId="77777777" w:rsidTr="008A0E2F">
        <w:tc>
          <w:tcPr>
            <w:tcW w:w="1075" w:type="dxa"/>
            <w:shd w:val="clear" w:color="auto" w:fill="auto"/>
          </w:tcPr>
          <w:p w14:paraId="53DCCF42" w14:textId="3C8A68DD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7781" w:type="dxa"/>
            <w:shd w:val="clear" w:color="auto" w:fill="auto"/>
          </w:tcPr>
          <w:p w14:paraId="5907F203" w14:textId="77A865AE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Data Patterns, Linear Models and Regression</w:t>
            </w:r>
          </w:p>
        </w:tc>
      </w:tr>
      <w:tr w:rsidR="008A0E2F" w:rsidRPr="00822F46" w14:paraId="0661763C" w14:textId="77777777" w:rsidTr="008A0E2F">
        <w:tc>
          <w:tcPr>
            <w:tcW w:w="1075" w:type="dxa"/>
            <w:shd w:val="clear" w:color="auto" w:fill="auto"/>
          </w:tcPr>
          <w:p w14:paraId="3F308C39" w14:textId="64CF34ED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8A0E2F" w:rsidRPr="00FD0E2C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781" w:type="dxa"/>
            <w:shd w:val="clear" w:color="auto" w:fill="auto"/>
          </w:tcPr>
          <w:p w14:paraId="44803AED" w14:textId="2EF08873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The Metric System</w:t>
            </w:r>
          </w:p>
        </w:tc>
      </w:tr>
      <w:tr w:rsidR="008A0E2F" w:rsidRPr="00822F46" w14:paraId="2D623C52" w14:textId="77777777" w:rsidTr="008A0E2F">
        <w:tc>
          <w:tcPr>
            <w:tcW w:w="1075" w:type="dxa"/>
            <w:shd w:val="clear" w:color="auto" w:fill="auto"/>
          </w:tcPr>
          <w:p w14:paraId="640190FE" w14:textId="1D2F7ED2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8A0E2F" w:rsidRPr="00FD0E2C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7781" w:type="dxa"/>
            <w:shd w:val="clear" w:color="auto" w:fill="auto"/>
          </w:tcPr>
          <w:p w14:paraId="2B245F21" w14:textId="69003BA2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Area and Volume</w:t>
            </w:r>
          </w:p>
        </w:tc>
      </w:tr>
      <w:tr w:rsidR="008A0E2F" w:rsidRPr="00822F46" w14:paraId="40C903A8" w14:textId="77777777" w:rsidTr="008A0E2F">
        <w:tc>
          <w:tcPr>
            <w:tcW w:w="1075" w:type="dxa"/>
            <w:shd w:val="clear" w:color="auto" w:fill="auto"/>
          </w:tcPr>
          <w:p w14:paraId="2CB0ECA2" w14:textId="084114B3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8A0E2F" w:rsidRPr="00FD0E2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81" w:type="dxa"/>
            <w:shd w:val="clear" w:color="auto" w:fill="auto"/>
          </w:tcPr>
          <w:p w14:paraId="1A72CA56" w14:textId="6DA627C8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Weight and Temperature</w:t>
            </w:r>
          </w:p>
        </w:tc>
      </w:tr>
      <w:tr w:rsidR="008A0E2F" w:rsidRPr="00822F46" w14:paraId="1D9794E0" w14:textId="77777777" w:rsidTr="008A0E2F">
        <w:tc>
          <w:tcPr>
            <w:tcW w:w="1075" w:type="dxa"/>
            <w:shd w:val="clear" w:color="auto" w:fill="auto"/>
          </w:tcPr>
          <w:p w14:paraId="7A9E29A1" w14:textId="123CAC9D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7781" w:type="dxa"/>
            <w:shd w:val="clear" w:color="auto" w:fill="auto"/>
          </w:tcPr>
          <w:p w14:paraId="20B01162" w14:textId="7C5A85B6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Statements</w:t>
            </w:r>
          </w:p>
        </w:tc>
      </w:tr>
      <w:tr w:rsidR="008A0E2F" w:rsidRPr="00822F46" w14:paraId="5642B8F7" w14:textId="77777777" w:rsidTr="008A0E2F">
        <w:tc>
          <w:tcPr>
            <w:tcW w:w="1075" w:type="dxa"/>
            <w:shd w:val="clear" w:color="auto" w:fill="auto"/>
          </w:tcPr>
          <w:p w14:paraId="5B3718A9" w14:textId="021F7585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7.2</w:t>
            </w:r>
          </w:p>
        </w:tc>
        <w:tc>
          <w:tcPr>
            <w:tcW w:w="7781" w:type="dxa"/>
            <w:shd w:val="clear" w:color="auto" w:fill="auto"/>
          </w:tcPr>
          <w:p w14:paraId="6BB9E994" w14:textId="4284E671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Logical Operators</w:t>
            </w:r>
          </w:p>
        </w:tc>
      </w:tr>
      <w:tr w:rsidR="008A0E2F" w:rsidRPr="00822F46" w14:paraId="44446416" w14:textId="77777777" w:rsidTr="008A0E2F">
        <w:tc>
          <w:tcPr>
            <w:tcW w:w="1075" w:type="dxa"/>
            <w:shd w:val="clear" w:color="auto" w:fill="auto"/>
          </w:tcPr>
          <w:p w14:paraId="58BED2A4" w14:textId="53DFE5E7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7.3</w:t>
            </w:r>
          </w:p>
        </w:tc>
        <w:tc>
          <w:tcPr>
            <w:tcW w:w="7781" w:type="dxa"/>
            <w:shd w:val="clear" w:color="auto" w:fill="auto"/>
          </w:tcPr>
          <w:p w14:paraId="2BA3C189" w14:textId="03340BC5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Truth Tables</w:t>
            </w:r>
          </w:p>
        </w:tc>
      </w:tr>
      <w:tr w:rsidR="008A0E2F" w:rsidRPr="00822F46" w14:paraId="497AACDE" w14:textId="77777777" w:rsidTr="008A0E2F">
        <w:tc>
          <w:tcPr>
            <w:tcW w:w="1075" w:type="dxa"/>
            <w:shd w:val="clear" w:color="auto" w:fill="auto"/>
          </w:tcPr>
          <w:p w14:paraId="0EC06621" w14:textId="55AA03EA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7.4</w:t>
            </w:r>
          </w:p>
        </w:tc>
        <w:tc>
          <w:tcPr>
            <w:tcW w:w="7781" w:type="dxa"/>
            <w:shd w:val="clear" w:color="auto" w:fill="auto"/>
          </w:tcPr>
          <w:p w14:paraId="061AB411" w14:textId="4D46D157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Conditionals</w:t>
            </w:r>
          </w:p>
        </w:tc>
      </w:tr>
      <w:tr w:rsidR="008A0E2F" w:rsidRPr="00822F46" w14:paraId="61BC6ECE" w14:textId="77777777" w:rsidTr="008A0E2F">
        <w:tc>
          <w:tcPr>
            <w:tcW w:w="1075" w:type="dxa"/>
            <w:shd w:val="clear" w:color="auto" w:fill="auto"/>
          </w:tcPr>
          <w:p w14:paraId="02469F70" w14:textId="1EF011E2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8A0E2F" w:rsidRPr="00FD0E2C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781" w:type="dxa"/>
            <w:shd w:val="clear" w:color="auto" w:fill="auto"/>
          </w:tcPr>
          <w:p w14:paraId="6A5F368B" w14:textId="6258D2A0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Describing Sets</w:t>
            </w:r>
          </w:p>
        </w:tc>
      </w:tr>
      <w:tr w:rsidR="008A0E2F" w:rsidRPr="00822F46" w14:paraId="78F102FC" w14:textId="77777777" w:rsidTr="008A0E2F">
        <w:tc>
          <w:tcPr>
            <w:tcW w:w="1075" w:type="dxa"/>
            <w:shd w:val="clear" w:color="auto" w:fill="auto"/>
          </w:tcPr>
          <w:p w14:paraId="14F3AC6E" w14:textId="471D8D29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8A0E2F" w:rsidRPr="00FD0E2C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7781" w:type="dxa"/>
            <w:shd w:val="clear" w:color="auto" w:fill="auto"/>
          </w:tcPr>
          <w:p w14:paraId="632AB866" w14:textId="25E6B630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Subsets and Cardinality</w:t>
            </w:r>
          </w:p>
        </w:tc>
      </w:tr>
      <w:tr w:rsidR="008A0E2F" w:rsidRPr="00822F46" w14:paraId="61DB9FB6" w14:textId="77777777" w:rsidTr="008A0E2F">
        <w:tc>
          <w:tcPr>
            <w:tcW w:w="1075" w:type="dxa"/>
            <w:shd w:val="clear" w:color="auto" w:fill="auto"/>
          </w:tcPr>
          <w:p w14:paraId="510C66E5" w14:textId="1D9FB281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8A0E2F" w:rsidRPr="00FD0E2C">
              <w:rPr>
                <w:rFonts w:ascii="Times New Roman" w:hAnsi="Times New Roman" w:cs="Times New Roman"/>
                <w:sz w:val="18"/>
                <w:szCs w:val="18"/>
              </w:rPr>
              <w:t>.3</w:t>
            </w:r>
          </w:p>
        </w:tc>
        <w:tc>
          <w:tcPr>
            <w:tcW w:w="7781" w:type="dxa"/>
            <w:shd w:val="clear" w:color="auto" w:fill="auto"/>
          </w:tcPr>
          <w:p w14:paraId="63D44804" w14:textId="603E899A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Set Operations</w:t>
            </w:r>
          </w:p>
        </w:tc>
      </w:tr>
      <w:tr w:rsidR="008A0E2F" w:rsidRPr="00822F46" w14:paraId="16315808" w14:textId="77777777" w:rsidTr="008A0E2F">
        <w:tc>
          <w:tcPr>
            <w:tcW w:w="1075" w:type="dxa"/>
            <w:shd w:val="clear" w:color="auto" w:fill="auto"/>
          </w:tcPr>
          <w:p w14:paraId="418AF64A" w14:textId="7B829A5B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8A0E2F" w:rsidRPr="00FD0E2C">
              <w:rPr>
                <w:rFonts w:ascii="Times New Roman" w:hAnsi="Times New Roman" w:cs="Times New Roman"/>
                <w:sz w:val="18"/>
                <w:szCs w:val="18"/>
              </w:rPr>
              <w:t>.4</w:t>
            </w:r>
          </w:p>
        </w:tc>
        <w:tc>
          <w:tcPr>
            <w:tcW w:w="7781" w:type="dxa"/>
            <w:shd w:val="clear" w:color="auto" w:fill="auto"/>
          </w:tcPr>
          <w:p w14:paraId="0B174150" w14:textId="4E75B7CD" w:rsidR="008A0E2F" w:rsidRPr="00FD0E2C" w:rsidRDefault="00FD0E2C" w:rsidP="0015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E2C">
              <w:rPr>
                <w:rFonts w:ascii="Times New Roman" w:hAnsi="Times New Roman" w:cs="Times New Roman"/>
                <w:sz w:val="18"/>
                <w:szCs w:val="18"/>
              </w:rPr>
              <w:t>Survey Problems</w:t>
            </w:r>
          </w:p>
        </w:tc>
      </w:tr>
    </w:tbl>
    <w:p w14:paraId="01759146" w14:textId="3013E10A" w:rsidR="00987E0B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C1504D"/>
        </w:rPr>
      </w:pPr>
    </w:p>
    <w:p w14:paraId="05AD17C0" w14:textId="08468F06" w:rsidR="00FD0E2C" w:rsidRPr="0024554C" w:rsidRDefault="00FD0E2C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C1504D"/>
        </w:rPr>
      </w:pPr>
      <w:r>
        <w:rPr>
          <w:rFonts w:ascii="Times New Roman" w:hAnsi="Times New Roman" w:cs="Times New Roman"/>
          <w:b/>
          <w:bCs/>
          <w:color w:val="C1504D"/>
        </w:rPr>
        <w:t xml:space="preserve">  </w:t>
      </w:r>
    </w:p>
    <w:p w14:paraId="1652D824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C1504D"/>
        </w:rPr>
      </w:pPr>
      <w:r w:rsidRPr="0024554C">
        <w:rPr>
          <w:rFonts w:ascii="Times New Roman" w:hAnsi="Times New Roman" w:cs="Times New Roman"/>
          <w:b/>
          <w:bCs/>
          <w:color w:val="C1504D"/>
        </w:rPr>
        <w:lastRenderedPageBreak/>
        <w:t>COURSE ASSESSMENT</w:t>
      </w:r>
    </w:p>
    <w:p w14:paraId="033A88EB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Students’ mastery of course learning outcomes will be assessed using the following</w:t>
      </w:r>
    </w:p>
    <w:p w14:paraId="77A341F3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554C">
        <w:rPr>
          <w:rFonts w:ascii="Times New Roman" w:hAnsi="Times New Roman" w:cs="Times New Roman"/>
          <w:color w:val="000000"/>
        </w:rPr>
        <w:t>methods:</w:t>
      </w:r>
    </w:p>
    <w:p w14:paraId="4D25EDAB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431B9EF3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65F92"/>
          <w:highlight w:val="yellow"/>
        </w:rPr>
      </w:pPr>
      <w:r w:rsidRPr="0024554C">
        <w:rPr>
          <w:rFonts w:ascii="Times New Roman" w:hAnsi="Times New Roman" w:cs="Times New Roman"/>
          <w:b/>
          <w:bCs/>
          <w:color w:val="365F92"/>
          <w:highlight w:val="yellow"/>
        </w:rPr>
        <w:t>ASSESSMENT METHODS WILL VARY BY SECTION. GRADED ITEMS MAY</w:t>
      </w:r>
    </w:p>
    <w:p w14:paraId="15ADA45A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65F92"/>
          <w:highlight w:val="yellow"/>
        </w:rPr>
      </w:pPr>
      <w:r w:rsidRPr="0024554C">
        <w:rPr>
          <w:rFonts w:ascii="Times New Roman" w:hAnsi="Times New Roman" w:cs="Times New Roman"/>
          <w:b/>
          <w:bCs/>
          <w:color w:val="365F92"/>
          <w:highlight w:val="yellow"/>
        </w:rPr>
        <w:t>INCLUDE SOME OR ALL OF THE FOLLOWING: EXAMS, MIDTERM,</w:t>
      </w:r>
    </w:p>
    <w:p w14:paraId="4186BC87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65F92"/>
          <w:highlight w:val="yellow"/>
        </w:rPr>
      </w:pPr>
      <w:r w:rsidRPr="0024554C">
        <w:rPr>
          <w:rFonts w:ascii="Times New Roman" w:hAnsi="Times New Roman" w:cs="Times New Roman"/>
          <w:b/>
          <w:bCs/>
          <w:color w:val="365F92"/>
          <w:highlight w:val="yellow"/>
        </w:rPr>
        <w:t>QUIZZES, FINAL EXAM, HOMEWORK, CLASS PARTICIPATION,</w:t>
      </w:r>
    </w:p>
    <w:p w14:paraId="68FB6AD8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65F92"/>
        </w:rPr>
      </w:pPr>
      <w:r w:rsidRPr="0024554C">
        <w:rPr>
          <w:rFonts w:ascii="Times New Roman" w:hAnsi="Times New Roman" w:cs="Times New Roman"/>
          <w:b/>
          <w:bCs/>
          <w:color w:val="365F92"/>
          <w:highlight w:val="yellow"/>
        </w:rPr>
        <w:t>ATTENDANCE, ETC.</w:t>
      </w:r>
    </w:p>
    <w:p w14:paraId="103EDE94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65F92"/>
        </w:rPr>
      </w:pPr>
    </w:p>
    <w:p w14:paraId="56ED7BC7" w14:textId="77777777" w:rsidR="00987E0B" w:rsidRPr="0024554C" w:rsidRDefault="00987E0B" w:rsidP="00987E0B">
      <w:pPr>
        <w:rPr>
          <w:rFonts w:ascii="Times New Roman" w:hAnsi="Times New Roman" w:cs="Times New Roman"/>
          <w:b/>
          <w:color w:val="FF0000"/>
          <w:u w:val="single"/>
        </w:rPr>
      </w:pPr>
      <w:r w:rsidRPr="0024554C">
        <w:rPr>
          <w:rFonts w:ascii="Times New Roman" w:hAnsi="Times New Roman" w:cs="Times New Roman"/>
          <w:b/>
          <w:color w:val="C0504D"/>
        </w:rPr>
        <w:t>ASSESSMENT GRADING:</w:t>
      </w:r>
      <w:r w:rsidRPr="0024554C">
        <w:rPr>
          <w:rFonts w:ascii="Times New Roman" w:hAnsi="Times New Roman" w:cs="Times New Roman"/>
          <w:color w:val="365F91"/>
        </w:rPr>
        <w:t xml:space="preserve"> </w:t>
      </w:r>
    </w:p>
    <w:p w14:paraId="6FB25AFB" w14:textId="77777777" w:rsidR="00987E0B" w:rsidRPr="0024554C" w:rsidRDefault="00987E0B" w:rsidP="00987E0B">
      <w:pPr>
        <w:rPr>
          <w:rFonts w:ascii="Times New Roman" w:hAnsi="Times New Roman" w:cs="Times New Roman"/>
          <w:b/>
          <w:color w:val="365F91"/>
        </w:rPr>
      </w:pPr>
      <w:r w:rsidRPr="0024554C">
        <w:rPr>
          <w:rFonts w:ascii="Times New Roman" w:hAnsi="Times New Roman" w:cs="Times New Roman"/>
          <w:b/>
          <w:color w:val="365F91"/>
          <w:highlight w:val="yellow"/>
        </w:rPr>
        <w:t>PLACE HOW A STUDENT’S FINAL GRADE WILL BE DETERMINED HERE.  THIS MAY INCLUDE: WEIGHTS OF ALL GRADES, POINTS, ASSESSMENT CRITERIA, ETC.</w:t>
      </w:r>
    </w:p>
    <w:p w14:paraId="28593949" w14:textId="77777777" w:rsidR="00987E0B" w:rsidRPr="0024554C" w:rsidRDefault="00987E0B" w:rsidP="00987E0B">
      <w:pPr>
        <w:rPr>
          <w:rFonts w:ascii="Times New Roman" w:hAnsi="Times New Roman" w:cs="Times New Roman"/>
          <w:color w:val="365F91"/>
        </w:rPr>
      </w:pPr>
      <w:r w:rsidRPr="0024554C">
        <w:rPr>
          <w:rFonts w:ascii="Times New Roman" w:hAnsi="Times New Roman" w:cs="Times New Roman"/>
          <w:color w:val="365F91"/>
        </w:rPr>
        <w:t>NOTE:  Graphing calculators equivalent to the TI 83, 84, 85, and 86 will be allowed on the exam, as will scientific calculators.  The TI-89 and other equivalent calculators will not be allowed.</w:t>
      </w:r>
    </w:p>
    <w:p w14:paraId="01F760CB" w14:textId="77777777" w:rsidR="00987E0B" w:rsidRPr="0024554C" w:rsidRDefault="00987E0B" w:rsidP="00987E0B">
      <w:pPr>
        <w:rPr>
          <w:rFonts w:ascii="Times New Roman" w:hAnsi="Times New Roman" w:cs="Times New Roman"/>
          <w:b/>
          <w:color w:val="365F91"/>
        </w:rPr>
      </w:pPr>
      <w:r w:rsidRPr="0024554C">
        <w:rPr>
          <w:rFonts w:ascii="Times New Roman" w:hAnsi="Times New Roman" w:cs="Times New Roman"/>
          <w:b/>
        </w:rPr>
        <w:t>Grading Scale</w:t>
      </w:r>
      <w:r w:rsidRPr="0024554C">
        <w:rPr>
          <w:rFonts w:ascii="Times New Roman" w:hAnsi="Times New Roman" w:cs="Times New Roman"/>
        </w:rPr>
        <w:t xml:space="preserve">: </w:t>
      </w:r>
    </w:p>
    <w:p w14:paraId="0A48F2DD" w14:textId="77777777" w:rsidR="00987E0B" w:rsidRPr="0024554C" w:rsidRDefault="00987E0B" w:rsidP="00987E0B">
      <w:pPr>
        <w:spacing w:after="0"/>
        <w:rPr>
          <w:rFonts w:ascii="Times New Roman" w:hAnsi="Times New Roman" w:cs="Times New Roman"/>
        </w:rPr>
      </w:pPr>
      <w:r w:rsidRPr="0024554C">
        <w:rPr>
          <w:rFonts w:ascii="Times New Roman" w:hAnsi="Times New Roman" w:cs="Times New Roman"/>
        </w:rPr>
        <w:t>90% - 100%:</w:t>
      </w:r>
      <w:r w:rsidRPr="0024554C">
        <w:rPr>
          <w:rFonts w:ascii="Times New Roman" w:hAnsi="Times New Roman" w:cs="Times New Roman"/>
        </w:rPr>
        <w:tab/>
      </w:r>
      <w:r w:rsidRPr="0024554C">
        <w:rPr>
          <w:rFonts w:ascii="Times New Roman" w:hAnsi="Times New Roman" w:cs="Times New Roman"/>
        </w:rPr>
        <w:tab/>
        <w:t>A</w:t>
      </w:r>
    </w:p>
    <w:p w14:paraId="2B99B4B9" w14:textId="77777777" w:rsidR="00987E0B" w:rsidRPr="0024554C" w:rsidRDefault="00987E0B" w:rsidP="00987E0B">
      <w:pPr>
        <w:spacing w:after="0"/>
        <w:rPr>
          <w:rFonts w:ascii="Times New Roman" w:hAnsi="Times New Roman" w:cs="Times New Roman"/>
        </w:rPr>
      </w:pPr>
      <w:r w:rsidRPr="0024554C">
        <w:rPr>
          <w:rFonts w:ascii="Times New Roman" w:hAnsi="Times New Roman" w:cs="Times New Roman"/>
        </w:rPr>
        <w:t>80% - 89%:</w:t>
      </w:r>
      <w:r w:rsidRPr="0024554C">
        <w:rPr>
          <w:rFonts w:ascii="Times New Roman" w:hAnsi="Times New Roman" w:cs="Times New Roman"/>
        </w:rPr>
        <w:tab/>
      </w:r>
      <w:r w:rsidRPr="0024554C">
        <w:rPr>
          <w:rFonts w:ascii="Times New Roman" w:hAnsi="Times New Roman" w:cs="Times New Roman"/>
        </w:rPr>
        <w:tab/>
        <w:t>B</w:t>
      </w:r>
    </w:p>
    <w:p w14:paraId="42B6DCA9" w14:textId="77777777" w:rsidR="00987E0B" w:rsidRPr="0024554C" w:rsidRDefault="00987E0B" w:rsidP="00987E0B">
      <w:pPr>
        <w:spacing w:after="0"/>
        <w:rPr>
          <w:rFonts w:ascii="Times New Roman" w:hAnsi="Times New Roman" w:cs="Times New Roman"/>
        </w:rPr>
      </w:pPr>
      <w:r w:rsidRPr="0024554C">
        <w:rPr>
          <w:rFonts w:ascii="Times New Roman" w:hAnsi="Times New Roman" w:cs="Times New Roman"/>
        </w:rPr>
        <w:t>70% - 79%:</w:t>
      </w:r>
      <w:r w:rsidRPr="0024554C">
        <w:rPr>
          <w:rFonts w:ascii="Times New Roman" w:hAnsi="Times New Roman" w:cs="Times New Roman"/>
        </w:rPr>
        <w:tab/>
      </w:r>
      <w:r w:rsidRPr="0024554C">
        <w:rPr>
          <w:rFonts w:ascii="Times New Roman" w:hAnsi="Times New Roman" w:cs="Times New Roman"/>
        </w:rPr>
        <w:tab/>
        <w:t>C</w:t>
      </w:r>
    </w:p>
    <w:p w14:paraId="7C3C2A93" w14:textId="77777777" w:rsidR="00987E0B" w:rsidRPr="0024554C" w:rsidRDefault="00987E0B" w:rsidP="00987E0B">
      <w:pPr>
        <w:spacing w:after="0"/>
        <w:rPr>
          <w:rFonts w:ascii="Times New Roman" w:hAnsi="Times New Roman" w:cs="Times New Roman"/>
        </w:rPr>
      </w:pPr>
      <w:r w:rsidRPr="0024554C">
        <w:rPr>
          <w:rFonts w:ascii="Times New Roman" w:hAnsi="Times New Roman" w:cs="Times New Roman"/>
        </w:rPr>
        <w:t>60% - 69%:</w:t>
      </w:r>
      <w:r w:rsidRPr="0024554C">
        <w:rPr>
          <w:rFonts w:ascii="Times New Roman" w:hAnsi="Times New Roman" w:cs="Times New Roman"/>
        </w:rPr>
        <w:tab/>
      </w:r>
      <w:r w:rsidRPr="0024554C">
        <w:rPr>
          <w:rFonts w:ascii="Times New Roman" w:hAnsi="Times New Roman" w:cs="Times New Roman"/>
        </w:rPr>
        <w:tab/>
        <w:t>D</w:t>
      </w:r>
    </w:p>
    <w:p w14:paraId="2B3A5692" w14:textId="77777777" w:rsidR="00987E0B" w:rsidRPr="0024554C" w:rsidRDefault="00987E0B" w:rsidP="00987E0B">
      <w:pPr>
        <w:spacing w:after="0"/>
        <w:rPr>
          <w:rFonts w:ascii="Times New Roman" w:hAnsi="Times New Roman" w:cs="Times New Roman"/>
        </w:rPr>
      </w:pPr>
      <w:r w:rsidRPr="0024554C">
        <w:rPr>
          <w:rFonts w:ascii="Times New Roman" w:hAnsi="Times New Roman" w:cs="Times New Roman"/>
        </w:rPr>
        <w:t>&lt;60%:</w:t>
      </w:r>
      <w:r w:rsidRPr="0024554C">
        <w:rPr>
          <w:rFonts w:ascii="Times New Roman" w:hAnsi="Times New Roman" w:cs="Times New Roman"/>
        </w:rPr>
        <w:tab/>
      </w:r>
      <w:r w:rsidRPr="0024554C">
        <w:rPr>
          <w:rFonts w:ascii="Times New Roman" w:hAnsi="Times New Roman" w:cs="Times New Roman"/>
        </w:rPr>
        <w:tab/>
      </w:r>
      <w:r w:rsidRPr="0024554C">
        <w:rPr>
          <w:rFonts w:ascii="Times New Roman" w:hAnsi="Times New Roman" w:cs="Times New Roman"/>
        </w:rPr>
        <w:tab/>
        <w:t>F</w:t>
      </w:r>
    </w:p>
    <w:p w14:paraId="7817DA9B" w14:textId="77777777" w:rsidR="00987E0B" w:rsidRPr="0024554C" w:rsidRDefault="00987E0B" w:rsidP="00987E0B">
      <w:pPr>
        <w:rPr>
          <w:rFonts w:ascii="Times New Roman" w:hAnsi="Times New Roman" w:cs="Times New Roman"/>
        </w:rPr>
      </w:pPr>
    </w:p>
    <w:p w14:paraId="462A55A8" w14:textId="77777777" w:rsidR="00987E0B" w:rsidRPr="0024554C" w:rsidRDefault="00987E0B" w:rsidP="00987E0B">
      <w:pPr>
        <w:rPr>
          <w:rFonts w:ascii="Times New Roman" w:hAnsi="Times New Roman" w:cs="Times New Roman"/>
          <w:b/>
          <w:color w:val="C0504D"/>
        </w:rPr>
      </w:pPr>
      <w:r w:rsidRPr="0024554C">
        <w:rPr>
          <w:rFonts w:ascii="Times New Roman" w:hAnsi="Times New Roman" w:cs="Times New Roman"/>
          <w:b/>
          <w:color w:val="C0504D"/>
        </w:rPr>
        <w:t>OTHER COURSE INFORMATION</w:t>
      </w:r>
    </w:p>
    <w:p w14:paraId="6124F6DB" w14:textId="77777777" w:rsidR="00987E0B" w:rsidRPr="0024554C" w:rsidRDefault="00987E0B" w:rsidP="00987E0B">
      <w:pPr>
        <w:rPr>
          <w:rFonts w:ascii="Times New Roman" w:hAnsi="Times New Roman" w:cs="Times New Roman"/>
          <w:b/>
          <w:color w:val="365F91"/>
        </w:rPr>
      </w:pPr>
      <w:r w:rsidRPr="0024554C">
        <w:rPr>
          <w:rFonts w:ascii="Times New Roman" w:hAnsi="Times New Roman" w:cs="Times New Roman"/>
          <w:b/>
          <w:color w:val="365F91"/>
          <w:highlight w:val="yellow"/>
        </w:rPr>
        <w:t>PLACE IMPORTANT AND UNGRADED COURSE INFORMATION HERE.  ITEMS MAY INCLUDE:  EXTRA CREDIT, ATTENDANCE POLICY, OPTIONAL ASSIGNMENTS/READINGS, COURSEDEN INFORMATION, ETC.</w:t>
      </w:r>
    </w:p>
    <w:p w14:paraId="621F0DD1" w14:textId="77777777" w:rsidR="00987E0B" w:rsidRPr="0024554C" w:rsidRDefault="00987E0B" w:rsidP="00987E0B">
      <w:pPr>
        <w:rPr>
          <w:rFonts w:ascii="Times New Roman" w:hAnsi="Times New Roman" w:cs="Times New Roman"/>
        </w:rPr>
      </w:pPr>
    </w:p>
    <w:p w14:paraId="5C61F818" w14:textId="77777777" w:rsidR="00987E0B" w:rsidRPr="0024554C" w:rsidRDefault="00987E0B" w:rsidP="00987E0B">
      <w:pPr>
        <w:rPr>
          <w:rFonts w:ascii="Times New Roman" w:hAnsi="Times New Roman" w:cs="Times New Roman"/>
          <w:b/>
          <w:color w:val="C0504D"/>
        </w:rPr>
      </w:pPr>
      <w:r w:rsidRPr="0024554C">
        <w:rPr>
          <w:rFonts w:ascii="Times New Roman" w:hAnsi="Times New Roman" w:cs="Times New Roman"/>
          <w:b/>
          <w:color w:val="C0504D"/>
        </w:rPr>
        <w:t>COURSE POLICIES AND INFORMATION</w:t>
      </w:r>
    </w:p>
    <w:p w14:paraId="3577A383" w14:textId="77777777" w:rsidR="00987E0B" w:rsidRPr="0024554C" w:rsidRDefault="00987E0B" w:rsidP="00987E0B">
      <w:pPr>
        <w:rPr>
          <w:rFonts w:ascii="Times New Roman" w:hAnsi="Times New Roman" w:cs="Times New Roman"/>
        </w:rPr>
      </w:pPr>
      <w:r w:rsidRPr="0024554C">
        <w:rPr>
          <w:rFonts w:ascii="Times New Roman" w:hAnsi="Times New Roman" w:cs="Times New Roman"/>
          <w:b/>
          <w:u w:val="single"/>
        </w:rPr>
        <w:t>University Policies and Academic Support</w:t>
      </w:r>
    </w:p>
    <w:p w14:paraId="49C8968E" w14:textId="77777777" w:rsidR="00987E0B" w:rsidRPr="0024554C" w:rsidRDefault="00987E0B" w:rsidP="00987E0B">
      <w:pPr>
        <w:rPr>
          <w:rFonts w:ascii="Times New Roman" w:hAnsi="Times New Roman" w:cs="Times New Roman"/>
        </w:rPr>
      </w:pPr>
      <w:r w:rsidRPr="0024554C">
        <w:rPr>
          <w:rFonts w:ascii="Times New Roman" w:hAnsi="Times New Roman" w:cs="Times New Roman"/>
        </w:rPr>
        <w:t xml:space="preserve">Please carefully review the following Common Language for all university course syllabi at the link:  </w:t>
      </w:r>
    </w:p>
    <w:p w14:paraId="2F44A7BE" w14:textId="77777777" w:rsidR="00961530" w:rsidRPr="0024554C" w:rsidRDefault="00481CBF" w:rsidP="00987E0B">
      <w:pPr>
        <w:rPr>
          <w:rFonts w:ascii="Times New Roman" w:hAnsi="Times New Roman" w:cs="Times New Roman"/>
        </w:rPr>
      </w:pPr>
      <w:hyperlink r:id="rId5" w:history="1">
        <w:r w:rsidR="00961530" w:rsidRPr="0024554C">
          <w:rPr>
            <w:rStyle w:val="Hyperlink"/>
            <w:rFonts w:ascii="Times New Roman" w:hAnsi="Times New Roman" w:cs="Times New Roman"/>
          </w:rPr>
          <w:t>https://www.westga.edu/UWGSyllabusPolicies/</w:t>
        </w:r>
      </w:hyperlink>
    </w:p>
    <w:p w14:paraId="77E3FBE9" w14:textId="77777777" w:rsidR="00961530" w:rsidRPr="0024554C" w:rsidRDefault="00987E0B" w:rsidP="00987E0B">
      <w:pPr>
        <w:rPr>
          <w:rFonts w:ascii="Times New Roman" w:hAnsi="Times New Roman" w:cs="Times New Roman"/>
        </w:rPr>
      </w:pPr>
      <w:r w:rsidRPr="0024554C">
        <w:rPr>
          <w:rFonts w:ascii="Times New Roman" w:hAnsi="Times New Roman" w:cs="Times New Roman"/>
        </w:rPr>
        <w:t>It contains important material pertaining to university policies and responsibilities.  Because these statements are updated as federal, state, university, and accreditation standards change, you should review the information each semester.</w:t>
      </w:r>
    </w:p>
    <w:p w14:paraId="00441C53" w14:textId="77777777" w:rsidR="00987E0B" w:rsidRDefault="00961530" w:rsidP="00987E0B">
      <w:pPr>
        <w:rPr>
          <w:rFonts w:ascii="Times New Roman" w:hAnsi="Times New Roman" w:cs="Times New Roman"/>
          <w:b/>
          <w:u w:val="single"/>
        </w:rPr>
      </w:pPr>
      <w:r w:rsidRPr="0024554C">
        <w:rPr>
          <w:rFonts w:ascii="Times New Roman" w:hAnsi="Times New Roman" w:cs="Times New Roman"/>
          <w:b/>
          <w:u w:val="single"/>
        </w:rPr>
        <w:t xml:space="preserve"> </w:t>
      </w:r>
    </w:p>
    <w:p w14:paraId="4FFF473C" w14:textId="77777777" w:rsidR="0024554C" w:rsidRDefault="0024554C" w:rsidP="00987E0B">
      <w:pPr>
        <w:rPr>
          <w:rFonts w:ascii="Times New Roman" w:hAnsi="Times New Roman" w:cs="Times New Roman"/>
          <w:b/>
          <w:u w:val="single"/>
        </w:rPr>
      </w:pPr>
    </w:p>
    <w:p w14:paraId="0F5CB3A6" w14:textId="15E9876A" w:rsidR="0024554C" w:rsidRDefault="0024554C" w:rsidP="00987E0B">
      <w:pPr>
        <w:rPr>
          <w:rFonts w:ascii="Times New Roman" w:hAnsi="Times New Roman" w:cs="Times New Roman"/>
        </w:rPr>
      </w:pPr>
    </w:p>
    <w:p w14:paraId="3AFCA3C2" w14:textId="09231070" w:rsidR="00FD0E2C" w:rsidRDefault="00FD0E2C" w:rsidP="00987E0B">
      <w:pPr>
        <w:rPr>
          <w:rFonts w:ascii="Times New Roman" w:hAnsi="Times New Roman" w:cs="Times New Roman"/>
        </w:rPr>
      </w:pPr>
    </w:p>
    <w:p w14:paraId="213A4CB1" w14:textId="77777777" w:rsidR="00FD0E2C" w:rsidRPr="0024554C" w:rsidRDefault="00FD0E2C" w:rsidP="00987E0B">
      <w:pPr>
        <w:rPr>
          <w:rFonts w:ascii="Times New Roman" w:hAnsi="Times New Roman" w:cs="Times New Roman"/>
        </w:rPr>
      </w:pPr>
    </w:p>
    <w:p w14:paraId="7264A9EA" w14:textId="77777777" w:rsidR="00987E0B" w:rsidRPr="0024554C" w:rsidRDefault="00987E0B" w:rsidP="00987E0B">
      <w:pPr>
        <w:rPr>
          <w:rFonts w:ascii="Times New Roman" w:hAnsi="Times New Roman" w:cs="Times New Roman"/>
        </w:rPr>
      </w:pPr>
      <w:r w:rsidRPr="0024554C">
        <w:rPr>
          <w:rFonts w:ascii="Times New Roman" w:hAnsi="Times New Roman" w:cs="Times New Roman"/>
          <w:b/>
          <w:u w:val="single"/>
        </w:rPr>
        <w:lastRenderedPageBreak/>
        <w:t>Academic Honesty</w:t>
      </w:r>
    </w:p>
    <w:p w14:paraId="1AD76235" w14:textId="77777777" w:rsidR="00987E0B" w:rsidRPr="0024554C" w:rsidRDefault="00987E0B" w:rsidP="00987E0B">
      <w:pPr>
        <w:rPr>
          <w:rFonts w:ascii="Times New Roman" w:hAnsi="Times New Roman" w:cs="Times New Roman"/>
          <w:b/>
          <w:color w:val="365F91"/>
        </w:rPr>
      </w:pPr>
      <w:r w:rsidRPr="0024554C">
        <w:rPr>
          <w:rFonts w:ascii="Times New Roman" w:hAnsi="Times New Roman" w:cs="Times New Roman"/>
          <w:b/>
          <w:color w:val="365F91"/>
          <w:highlight w:val="yellow"/>
        </w:rPr>
        <w:t>PLACE COURSE POLICY FOR ACADEMIC DISHONESTY HERE.</w:t>
      </w:r>
      <w:r w:rsidRPr="0024554C">
        <w:rPr>
          <w:rFonts w:ascii="Times New Roman" w:hAnsi="Times New Roman" w:cs="Times New Roman"/>
          <w:b/>
          <w:color w:val="365F91"/>
        </w:rPr>
        <w:t xml:space="preserve">  </w:t>
      </w:r>
    </w:p>
    <w:p w14:paraId="53DF49D1" w14:textId="77777777" w:rsidR="00987E0B" w:rsidRPr="0024554C" w:rsidRDefault="00987E0B" w:rsidP="00987E0B">
      <w:pPr>
        <w:rPr>
          <w:rFonts w:ascii="Times New Roman" w:hAnsi="Times New Roman" w:cs="Times New Roman"/>
          <w:color w:val="365F91"/>
        </w:rPr>
      </w:pPr>
      <w:r w:rsidRPr="0024554C">
        <w:rPr>
          <w:rFonts w:ascii="Times New Roman" w:hAnsi="Times New Roman" w:cs="Times New Roman"/>
          <w:color w:val="365F91"/>
        </w:rPr>
        <w:t>NOTE:  ALL FORMS OF ACADEMIC DISHONESTY SHOULD BE REPORTED AND THE STUDENT NOTIFIED.</w:t>
      </w:r>
    </w:p>
    <w:p w14:paraId="381FCA77" w14:textId="77777777" w:rsidR="00987E0B" w:rsidRPr="0024554C" w:rsidRDefault="00987E0B" w:rsidP="00987E0B">
      <w:pPr>
        <w:rPr>
          <w:rFonts w:ascii="Times New Roman" w:hAnsi="Times New Roman" w:cs="Times New Roman"/>
        </w:rPr>
      </w:pPr>
      <w:r w:rsidRPr="0024554C">
        <w:rPr>
          <w:rFonts w:ascii="Times New Roman" w:hAnsi="Times New Roman" w:cs="Times New Roman"/>
        </w:rPr>
        <w:t>Definitions of academic dishonesty are defined in the student handbook:  www.westga.edu/handbook/</w:t>
      </w:r>
    </w:p>
    <w:p w14:paraId="36A71484" w14:textId="77777777" w:rsidR="00987E0B" w:rsidRPr="0024554C" w:rsidRDefault="00987E0B" w:rsidP="00987E0B">
      <w:pPr>
        <w:rPr>
          <w:rFonts w:ascii="Times New Roman" w:hAnsi="Times New Roman" w:cs="Times New Roman"/>
        </w:rPr>
      </w:pPr>
      <w:r w:rsidRPr="0024554C">
        <w:rPr>
          <w:rFonts w:ascii="Times New Roman" w:hAnsi="Times New Roman" w:cs="Times New Roman"/>
          <w:b/>
          <w:u w:val="single"/>
        </w:rPr>
        <w:t>Disabilities Act/Accessibility for the Course</w:t>
      </w:r>
    </w:p>
    <w:p w14:paraId="42CAEB43" w14:textId="77777777" w:rsidR="00987E0B" w:rsidRPr="0024554C" w:rsidRDefault="00987E0B" w:rsidP="00987E0B">
      <w:pPr>
        <w:rPr>
          <w:rFonts w:ascii="Times New Roman" w:hAnsi="Times New Roman" w:cs="Times New Roman"/>
        </w:rPr>
      </w:pPr>
      <w:r w:rsidRPr="0024554C">
        <w:rPr>
          <w:rFonts w:ascii="Times New Roman" w:hAnsi="Times New Roman" w:cs="Times New Roman"/>
        </w:rPr>
        <w:t>If you are a student whom is disabled as defined under the Americans with Disabilities Act and require assistance or support services, please notify me and provide me with a copy of your packet from Student Services.  The university will provide you with resources for any audio/visual needs that you may have with the learning management system or course content.</w:t>
      </w:r>
    </w:p>
    <w:p w14:paraId="7DB044F9" w14:textId="77777777" w:rsidR="00987E0B" w:rsidRPr="0024554C" w:rsidRDefault="00987E0B" w:rsidP="00987E0B">
      <w:pPr>
        <w:rPr>
          <w:rFonts w:ascii="Times New Roman" w:hAnsi="Times New Roman" w:cs="Times New Roman"/>
        </w:rPr>
      </w:pPr>
      <w:r w:rsidRPr="0024554C">
        <w:rPr>
          <w:rFonts w:ascii="Times New Roman" w:hAnsi="Times New Roman" w:cs="Times New Roman"/>
        </w:rPr>
        <w:t>Please contact UWG Accessibility Services for more information.</w:t>
      </w:r>
    </w:p>
    <w:p w14:paraId="6E530A47" w14:textId="77777777" w:rsidR="00987E0B" w:rsidRPr="0024554C" w:rsidRDefault="00987E0B" w:rsidP="00987E0B">
      <w:pPr>
        <w:rPr>
          <w:rFonts w:ascii="Times New Roman" w:hAnsi="Times New Roman" w:cs="Times New Roman"/>
        </w:rPr>
      </w:pPr>
      <w:r w:rsidRPr="0024554C">
        <w:rPr>
          <w:rFonts w:ascii="Times New Roman" w:hAnsi="Times New Roman" w:cs="Times New Roman"/>
          <w:b/>
          <w:u w:val="single"/>
        </w:rPr>
        <w:t>Student Conduct</w:t>
      </w:r>
    </w:p>
    <w:p w14:paraId="02BE2F85" w14:textId="77777777" w:rsidR="00987E0B" w:rsidRPr="0024554C" w:rsidRDefault="00987E0B" w:rsidP="00987E0B">
      <w:pPr>
        <w:rPr>
          <w:rFonts w:ascii="Times New Roman" w:hAnsi="Times New Roman" w:cs="Times New Roman"/>
        </w:rPr>
      </w:pPr>
      <w:r w:rsidRPr="0024554C">
        <w:rPr>
          <w:rFonts w:ascii="Times New Roman" w:hAnsi="Times New Roman" w:cs="Times New Roman"/>
        </w:rPr>
        <w:t>Students are expected to abide by the guidelines detailed in the university catalog.  Respect and courtesy are required of all students while in the classroom.  The following is also mandatory:</w:t>
      </w:r>
    </w:p>
    <w:p w14:paraId="5531C02E" w14:textId="77777777" w:rsidR="00987E0B" w:rsidRPr="0024554C" w:rsidRDefault="00987E0B" w:rsidP="00987E0B">
      <w:pPr>
        <w:rPr>
          <w:rFonts w:ascii="Times New Roman" w:hAnsi="Times New Roman" w:cs="Times New Roman"/>
          <w:b/>
          <w:color w:val="365F91"/>
        </w:rPr>
      </w:pPr>
      <w:r w:rsidRPr="0024554C">
        <w:rPr>
          <w:rFonts w:ascii="Times New Roman" w:hAnsi="Times New Roman" w:cs="Times New Roman"/>
          <w:b/>
          <w:color w:val="365F91"/>
          <w:highlight w:val="yellow"/>
        </w:rPr>
        <w:t>PLACE EXPECTED STUDENT CONDUCT, IN THE CLASSROOM, HERE.</w:t>
      </w:r>
    </w:p>
    <w:p w14:paraId="36CFE23E" w14:textId="7BA47B19" w:rsidR="00FD0E2C" w:rsidRDefault="00FD0E2C" w:rsidP="00987E0B">
      <w:pPr>
        <w:rPr>
          <w:rFonts w:ascii="Times New Roman" w:hAnsi="Times New Roman" w:cs="Times New Roman"/>
          <w:b/>
          <w:color w:val="C0504D"/>
        </w:rPr>
      </w:pPr>
    </w:p>
    <w:p w14:paraId="7B96504A" w14:textId="77777777" w:rsidR="00FD0E2C" w:rsidRDefault="00FD0E2C" w:rsidP="00987E0B">
      <w:pPr>
        <w:rPr>
          <w:rFonts w:ascii="Times New Roman" w:hAnsi="Times New Roman" w:cs="Times New Roman"/>
          <w:b/>
          <w:color w:val="C0504D"/>
        </w:rPr>
      </w:pPr>
    </w:p>
    <w:p w14:paraId="2CC3F2B9" w14:textId="25845BA1" w:rsidR="008A0E2F" w:rsidRPr="0024554C" w:rsidRDefault="008A0E2F" w:rsidP="00987E0B">
      <w:pPr>
        <w:rPr>
          <w:rFonts w:ascii="Times New Roman" w:hAnsi="Times New Roman" w:cs="Times New Roman"/>
          <w:b/>
          <w:color w:val="C0504D"/>
        </w:rPr>
      </w:pPr>
    </w:p>
    <w:p w14:paraId="0235C779" w14:textId="77777777" w:rsidR="00987E0B" w:rsidRPr="0024554C" w:rsidRDefault="00987E0B" w:rsidP="00987E0B">
      <w:pPr>
        <w:rPr>
          <w:rFonts w:ascii="Times New Roman" w:hAnsi="Times New Roman" w:cs="Times New Roman"/>
          <w:b/>
          <w:color w:val="C0504D"/>
        </w:rPr>
      </w:pPr>
    </w:p>
    <w:p w14:paraId="64320B73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65F92"/>
        </w:rPr>
      </w:pPr>
    </w:p>
    <w:p w14:paraId="6EEE3835" w14:textId="77777777" w:rsidR="00987E0B" w:rsidRPr="0024554C" w:rsidRDefault="00987E0B" w:rsidP="00987E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65F92"/>
        </w:rPr>
      </w:pPr>
    </w:p>
    <w:sectPr w:rsidR="00987E0B" w:rsidRPr="002455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0B6752"/>
    <w:multiLevelType w:val="multilevel"/>
    <w:tmpl w:val="DFA2E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E0B"/>
    <w:rsid w:val="0024554C"/>
    <w:rsid w:val="0032544F"/>
    <w:rsid w:val="00481CBF"/>
    <w:rsid w:val="005412BE"/>
    <w:rsid w:val="00636174"/>
    <w:rsid w:val="00717CE8"/>
    <w:rsid w:val="008A0E2F"/>
    <w:rsid w:val="00961530"/>
    <w:rsid w:val="00987E0B"/>
    <w:rsid w:val="00B757D4"/>
    <w:rsid w:val="00D24402"/>
    <w:rsid w:val="00E643F9"/>
    <w:rsid w:val="00FB3025"/>
    <w:rsid w:val="00FD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6554A"/>
  <w15:chartTrackingRefBased/>
  <w15:docId w15:val="{5D89CD70-AB36-4296-8CB5-5220AF817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615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westga.edu/UWGSyllabusPolicies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6A1417F-075F-4D1B-ABFA-F7960B78C9D0}"/>
</file>

<file path=customXml/itemProps2.xml><?xml version="1.0" encoding="utf-8"?>
<ds:datastoreItem xmlns:ds="http://schemas.openxmlformats.org/officeDocument/2006/customXml" ds:itemID="{C655F783-ABA5-4807-9DA5-7C9EE36D0C61}"/>
</file>

<file path=customXml/itemProps3.xml><?xml version="1.0" encoding="utf-8"?>
<ds:datastoreItem xmlns:ds="http://schemas.openxmlformats.org/officeDocument/2006/customXml" ds:itemID="{7DD1929C-2DC9-4752-829A-918153D25C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West Georgia</Company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Sykes</dc:creator>
  <cp:keywords/>
  <dc:description/>
  <cp:lastModifiedBy>Microsoft Office User</cp:lastModifiedBy>
  <cp:revision>2</cp:revision>
  <dcterms:created xsi:type="dcterms:W3CDTF">2021-07-12T18:29:00Z</dcterms:created>
  <dcterms:modified xsi:type="dcterms:W3CDTF">2021-07-12T18:29:00Z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