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9D14AC" w14:textId="649027FC" w:rsidR="00E167BE" w:rsidRDefault="0A3BC8CA" w:rsidP="00285B86">
      <w:pPr>
        <w:pStyle w:val="Title"/>
      </w:pPr>
      <w:bookmarkStart w:id="0" w:name="_GoBack"/>
      <w:bookmarkEnd w:id="0"/>
      <w:r>
        <w:t>Affordable Learning Georgia Affordable Materials Grants</w:t>
      </w:r>
      <w:r w:rsidR="00E167BE">
        <w:br/>
      </w:r>
      <w:r>
        <w:t>Transformation Grants Final Report</w:t>
      </w:r>
    </w:p>
    <w:p w14:paraId="1D496630" w14:textId="27714E7C" w:rsidR="0033401E" w:rsidRPr="00871BC4" w:rsidRDefault="00647915" w:rsidP="0073273B">
      <w:pPr>
        <w:rPr>
          <w:iCs/>
          <w:sz w:val="24"/>
          <w:szCs w:val="24"/>
        </w:rPr>
      </w:pPr>
      <w:r>
        <w:rPr>
          <w:iCs/>
          <w:sz w:val="24"/>
          <w:szCs w:val="24"/>
        </w:rPr>
        <w:t>Once you have completed this template, to</w:t>
      </w:r>
      <w:r w:rsidR="0033401E" w:rsidRPr="00871BC4">
        <w:rPr>
          <w:iCs/>
          <w:sz w:val="24"/>
          <w:szCs w:val="24"/>
        </w:rPr>
        <w:t xml:space="preserve"> submit your Final Report, go to the </w:t>
      </w:r>
      <w:hyperlink r:id="rId8" w:history="1">
        <w:r w:rsidR="0033401E" w:rsidRPr="003F4D85">
          <w:rPr>
            <w:rStyle w:val="Hyperlink"/>
            <w:iCs/>
            <w:sz w:val="24"/>
            <w:szCs w:val="24"/>
          </w:rPr>
          <w:t xml:space="preserve">Final Report submission </w:t>
        </w:r>
      </w:hyperlink>
      <w:r>
        <w:rPr>
          <w:rStyle w:val="Hyperlink"/>
          <w:iCs/>
          <w:sz w:val="24"/>
          <w:szCs w:val="24"/>
        </w:rPr>
        <w:t>form.</w:t>
      </w:r>
      <w:r w:rsidR="0033401E" w:rsidRPr="00871BC4">
        <w:rPr>
          <w:iCs/>
          <w:sz w:val="24"/>
          <w:szCs w:val="24"/>
        </w:rPr>
        <w:t xml:space="preserve"> </w:t>
      </w:r>
    </w:p>
    <w:p w14:paraId="67CBE099" w14:textId="1C4F5FEC" w:rsidR="0033401E" w:rsidRPr="00871BC4" w:rsidRDefault="00D11976" w:rsidP="0033401E">
      <w:pPr>
        <w:rPr>
          <w:iCs/>
          <w:sz w:val="24"/>
          <w:szCs w:val="24"/>
        </w:rPr>
      </w:pPr>
      <w:r w:rsidRPr="00871BC4">
        <w:rPr>
          <w:iCs/>
          <w:sz w:val="24"/>
          <w:szCs w:val="24"/>
        </w:rPr>
        <w:t>The final report submission form</w:t>
      </w:r>
      <w:r w:rsidR="00647915">
        <w:rPr>
          <w:iCs/>
          <w:sz w:val="24"/>
          <w:szCs w:val="24"/>
        </w:rPr>
        <w:t xml:space="preserve"> allows you to submit the following</w:t>
      </w:r>
      <w:r w:rsidR="0033401E" w:rsidRPr="00871BC4">
        <w:rPr>
          <w:iCs/>
          <w:sz w:val="24"/>
          <w:szCs w:val="24"/>
        </w:rPr>
        <w:t xml:space="preserve">: </w:t>
      </w:r>
    </w:p>
    <w:p w14:paraId="324FBD38" w14:textId="0BE92390" w:rsidR="0033401E" w:rsidRPr="00871BC4" w:rsidRDefault="6150DB48" w:rsidP="6150DB48">
      <w:pPr>
        <w:pStyle w:val="ListParagraph"/>
        <w:numPr>
          <w:ilvl w:val="0"/>
          <w:numId w:val="23"/>
        </w:numPr>
        <w:rPr>
          <w:sz w:val="24"/>
          <w:szCs w:val="24"/>
        </w:rPr>
      </w:pPr>
      <w:r w:rsidRPr="6150DB48">
        <w:rPr>
          <w:sz w:val="24"/>
          <w:szCs w:val="24"/>
        </w:rPr>
        <w:t>This completed narrative document (</w:t>
      </w:r>
      <w:r w:rsidRPr="6150DB48">
        <w:rPr>
          <w:b/>
          <w:bCs/>
          <w:sz w:val="24"/>
          <w:szCs w:val="24"/>
          <w:highlight w:val="green"/>
        </w:rPr>
        <w:t>required</w:t>
      </w:r>
      <w:r w:rsidRPr="6150DB48">
        <w:rPr>
          <w:sz w:val="24"/>
          <w:szCs w:val="24"/>
        </w:rPr>
        <w:t xml:space="preserve">) </w:t>
      </w:r>
    </w:p>
    <w:p w14:paraId="69BBA9F0" w14:textId="0D8EA1F4" w:rsidR="00630263" w:rsidRPr="00871BC4" w:rsidRDefault="6150DB48" w:rsidP="6150DB48">
      <w:pPr>
        <w:pStyle w:val="ListParagraph"/>
        <w:numPr>
          <w:ilvl w:val="0"/>
          <w:numId w:val="23"/>
        </w:numPr>
        <w:rPr>
          <w:sz w:val="24"/>
          <w:szCs w:val="24"/>
        </w:rPr>
      </w:pPr>
      <w:r w:rsidRPr="6150DB48">
        <w:rPr>
          <w:sz w:val="24"/>
          <w:szCs w:val="24"/>
        </w:rPr>
        <w:t>Syllabus or syllabi (</w:t>
      </w:r>
      <w:r w:rsidRPr="6150DB48">
        <w:rPr>
          <w:b/>
          <w:bCs/>
          <w:sz w:val="24"/>
          <w:szCs w:val="24"/>
          <w:highlight w:val="green"/>
        </w:rPr>
        <w:t>required</w:t>
      </w:r>
      <w:r w:rsidRPr="6150DB48">
        <w:rPr>
          <w:sz w:val="24"/>
          <w:szCs w:val="24"/>
        </w:rPr>
        <w:t>)</w:t>
      </w:r>
    </w:p>
    <w:p w14:paraId="67840C72" w14:textId="15AFAE9E" w:rsidR="0033401E"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 xml:space="preserve">f multiple files, compress into one .zip folder </w:t>
      </w:r>
    </w:p>
    <w:p w14:paraId="22ECA3EE" w14:textId="12DE2EC8" w:rsidR="00630263" w:rsidRPr="00871BC4" w:rsidRDefault="00630263" w:rsidP="0033401E">
      <w:pPr>
        <w:pStyle w:val="ListParagraph"/>
        <w:numPr>
          <w:ilvl w:val="0"/>
          <w:numId w:val="23"/>
        </w:numPr>
        <w:rPr>
          <w:iCs/>
          <w:sz w:val="24"/>
          <w:szCs w:val="24"/>
        </w:rPr>
      </w:pPr>
      <w:r w:rsidRPr="00871BC4">
        <w:rPr>
          <w:iCs/>
          <w:sz w:val="24"/>
          <w:szCs w:val="24"/>
        </w:rPr>
        <w:t>Qualitative/Quantitative Measures d</w:t>
      </w:r>
      <w:r w:rsidR="0033401E" w:rsidRPr="00871BC4">
        <w:rPr>
          <w:iCs/>
          <w:sz w:val="24"/>
          <w:szCs w:val="24"/>
        </w:rPr>
        <w:t>ata files</w:t>
      </w:r>
      <w:r w:rsidR="00D11976" w:rsidRPr="00871BC4">
        <w:rPr>
          <w:iCs/>
          <w:sz w:val="24"/>
          <w:szCs w:val="24"/>
        </w:rPr>
        <w:t xml:space="preserve"> (</w:t>
      </w:r>
      <w:r w:rsidR="00647915">
        <w:rPr>
          <w:iCs/>
          <w:sz w:val="24"/>
          <w:szCs w:val="24"/>
        </w:rPr>
        <w:t>optional, as needed</w:t>
      </w:r>
      <w:r w:rsidR="00D11976" w:rsidRPr="00871BC4">
        <w:rPr>
          <w:iCs/>
          <w:sz w:val="24"/>
          <w:szCs w:val="24"/>
        </w:rPr>
        <w:t>)</w:t>
      </w:r>
      <w:r w:rsidR="0033401E" w:rsidRPr="00871BC4">
        <w:rPr>
          <w:iCs/>
          <w:sz w:val="24"/>
          <w:szCs w:val="24"/>
        </w:rPr>
        <w:t xml:space="preserve"> </w:t>
      </w:r>
    </w:p>
    <w:p w14:paraId="6300CD79" w14:textId="4E3EFF08" w:rsidR="001F4532"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f multiple files, compress into one .zip folder</w:t>
      </w:r>
    </w:p>
    <w:p w14:paraId="1B7933E0" w14:textId="68FDC791" w:rsidR="0033401E" w:rsidRPr="00871BC4" w:rsidRDefault="6150DB48" w:rsidP="6150DB48">
      <w:pPr>
        <w:pStyle w:val="ListParagraph"/>
        <w:numPr>
          <w:ilvl w:val="0"/>
          <w:numId w:val="23"/>
        </w:numPr>
        <w:rPr>
          <w:sz w:val="24"/>
          <w:szCs w:val="24"/>
        </w:rPr>
      </w:pPr>
      <w:r w:rsidRPr="6150DB48">
        <w:rPr>
          <w:sz w:val="24"/>
          <w:szCs w:val="24"/>
        </w:rPr>
        <w:t>Photo of your team or a class of your students for future ALG promotions (</w:t>
      </w:r>
      <w:r w:rsidRPr="6150DB48">
        <w:rPr>
          <w:b/>
          <w:bCs/>
          <w:sz w:val="24"/>
          <w:szCs w:val="24"/>
          <w:highlight w:val="green"/>
        </w:rPr>
        <w:t>optional</w:t>
      </w:r>
      <w:r w:rsidRPr="6150DB48">
        <w:rPr>
          <w:sz w:val="24"/>
          <w:szCs w:val="24"/>
        </w:rPr>
        <w:t>)</w:t>
      </w:r>
    </w:p>
    <w:p w14:paraId="6ADE06B3" w14:textId="79E3E735" w:rsidR="00D11976" w:rsidRPr="00871BC4" w:rsidRDefault="00D11976" w:rsidP="0097575D">
      <w:pPr>
        <w:pStyle w:val="ListParagraph"/>
        <w:numPr>
          <w:ilvl w:val="0"/>
          <w:numId w:val="23"/>
        </w:numPr>
        <w:rPr>
          <w:iCs/>
          <w:sz w:val="24"/>
          <w:szCs w:val="24"/>
        </w:rPr>
      </w:pPr>
      <w:r w:rsidRPr="00871BC4">
        <w:rPr>
          <w:iCs/>
          <w:sz w:val="24"/>
          <w:szCs w:val="24"/>
        </w:rPr>
        <w:t xml:space="preserve">Invoice for the second half of the grant’s award amount (optional) </w:t>
      </w:r>
    </w:p>
    <w:p w14:paraId="0CE62F26" w14:textId="4773B66F" w:rsidR="00687254" w:rsidRPr="00871BC4" w:rsidRDefault="00687254" w:rsidP="0073273B">
      <w:pPr>
        <w:rPr>
          <w:iCs/>
          <w:sz w:val="24"/>
          <w:szCs w:val="24"/>
        </w:rPr>
      </w:pPr>
      <w:r w:rsidRPr="00871BC4">
        <w:rPr>
          <w:iCs/>
          <w:sz w:val="24"/>
          <w:szCs w:val="24"/>
        </w:rPr>
        <w:t>Follow the instructions on the webpage</w:t>
      </w:r>
      <w:r w:rsidR="0033401E" w:rsidRPr="00871BC4">
        <w:rPr>
          <w:iCs/>
          <w:sz w:val="24"/>
          <w:szCs w:val="24"/>
        </w:rPr>
        <w:t xml:space="preserve"> for uploading your documents. B</w:t>
      </w:r>
      <w:r w:rsidRPr="00871BC4">
        <w:rPr>
          <w:iCs/>
          <w:sz w:val="24"/>
          <w:szCs w:val="24"/>
        </w:rPr>
        <w:t>ased on receipt of this report</w:t>
      </w:r>
      <w:r w:rsidR="00BF3C8A" w:rsidRPr="00871BC4">
        <w:rPr>
          <w:iCs/>
          <w:sz w:val="24"/>
          <w:szCs w:val="24"/>
        </w:rPr>
        <w:t>,</w:t>
      </w:r>
      <w:r w:rsidRPr="00871BC4">
        <w:rPr>
          <w:iCs/>
          <w:sz w:val="24"/>
          <w:szCs w:val="24"/>
        </w:rPr>
        <w:t xml:space="preserve"> ALG </w:t>
      </w:r>
      <w:r w:rsidR="00DF79E1" w:rsidRPr="00871BC4">
        <w:rPr>
          <w:iCs/>
          <w:sz w:val="24"/>
          <w:szCs w:val="24"/>
        </w:rPr>
        <w:t>will process</w:t>
      </w:r>
      <w:r w:rsidRPr="00871BC4">
        <w:rPr>
          <w:iCs/>
          <w:sz w:val="24"/>
          <w:szCs w:val="24"/>
        </w:rPr>
        <w:t xml:space="preserve"> the final payment for your grant.  ALG </w:t>
      </w:r>
      <w:r w:rsidR="0033401E" w:rsidRPr="00871BC4">
        <w:rPr>
          <w:iCs/>
          <w:sz w:val="24"/>
          <w:szCs w:val="24"/>
        </w:rPr>
        <w:t xml:space="preserve">will </w:t>
      </w:r>
      <w:r w:rsidRPr="00871BC4">
        <w:rPr>
          <w:iCs/>
          <w:sz w:val="24"/>
          <w:szCs w:val="24"/>
        </w:rPr>
        <w:t>follow up</w:t>
      </w:r>
      <w:r w:rsidR="00630263" w:rsidRPr="00871BC4">
        <w:rPr>
          <w:iCs/>
          <w:sz w:val="24"/>
          <w:szCs w:val="24"/>
        </w:rPr>
        <w:t xml:space="preserve"> in the future with p</w:t>
      </w:r>
      <w:r w:rsidR="0033401E" w:rsidRPr="00871BC4">
        <w:rPr>
          <w:iCs/>
          <w:sz w:val="24"/>
          <w:szCs w:val="24"/>
        </w:rPr>
        <w:t>ost-project grantee survey</w:t>
      </w:r>
      <w:r w:rsidR="00630263" w:rsidRPr="00871BC4">
        <w:rPr>
          <w:iCs/>
          <w:sz w:val="24"/>
          <w:szCs w:val="24"/>
        </w:rPr>
        <w:t>s</w:t>
      </w:r>
      <w:r w:rsidR="0033401E" w:rsidRPr="00871BC4">
        <w:rPr>
          <w:iCs/>
          <w:sz w:val="24"/>
          <w:szCs w:val="24"/>
        </w:rPr>
        <w:t xml:space="preserve"> and may also </w:t>
      </w:r>
      <w:r w:rsidRPr="00871BC4">
        <w:rPr>
          <w:iCs/>
          <w:sz w:val="24"/>
          <w:szCs w:val="24"/>
        </w:rPr>
        <w:t xml:space="preserve">request your participation </w:t>
      </w:r>
      <w:r w:rsidR="00DF79E1" w:rsidRPr="00871BC4">
        <w:rPr>
          <w:iCs/>
          <w:sz w:val="24"/>
          <w:szCs w:val="24"/>
        </w:rPr>
        <w:t>in a publication, presentation,</w:t>
      </w:r>
      <w:r w:rsidRPr="00871BC4">
        <w:rPr>
          <w:iCs/>
          <w:sz w:val="24"/>
          <w:szCs w:val="24"/>
        </w:rPr>
        <w:t xml:space="preserve"> or other event. </w:t>
      </w:r>
    </w:p>
    <w:p w14:paraId="6BF02510" w14:textId="52CA1B6A" w:rsidR="0033401E" w:rsidRDefault="0033401E" w:rsidP="0033401E">
      <w:pPr>
        <w:pStyle w:val="Heading1"/>
      </w:pPr>
      <w:r>
        <w:t>General Information</w:t>
      </w:r>
    </w:p>
    <w:p w14:paraId="6A5B7154" w14:textId="592CEBC8" w:rsidR="00687254" w:rsidRPr="002E3388" w:rsidRDefault="00687254" w:rsidP="00687254">
      <w:pPr>
        <w:ind w:left="360"/>
        <w:rPr>
          <w:sz w:val="24"/>
          <w:szCs w:val="24"/>
        </w:rPr>
      </w:pPr>
      <w:r w:rsidRPr="004F2656">
        <w:rPr>
          <w:b/>
          <w:sz w:val="24"/>
          <w:szCs w:val="24"/>
        </w:rPr>
        <w:t>Date</w:t>
      </w:r>
      <w:r w:rsidR="003E1BCB" w:rsidRPr="004F2656">
        <w:rPr>
          <w:b/>
          <w:sz w:val="24"/>
          <w:szCs w:val="24"/>
        </w:rPr>
        <w:t>:</w:t>
      </w:r>
      <w:r w:rsidR="00EB7890">
        <w:rPr>
          <w:b/>
          <w:sz w:val="24"/>
          <w:szCs w:val="24"/>
        </w:rPr>
        <w:t xml:space="preserve"> </w:t>
      </w:r>
      <w:r w:rsidR="00EB7890" w:rsidRPr="002E3388">
        <w:rPr>
          <w:sz w:val="24"/>
          <w:szCs w:val="24"/>
        </w:rPr>
        <w:t>May 13, 2022</w:t>
      </w:r>
    </w:p>
    <w:p w14:paraId="1CB2C16B" w14:textId="41BA03C6" w:rsidR="0033401E" w:rsidRPr="004F2656" w:rsidRDefault="0033401E" w:rsidP="00687254">
      <w:pPr>
        <w:ind w:left="360"/>
        <w:rPr>
          <w:b/>
          <w:sz w:val="24"/>
          <w:szCs w:val="24"/>
        </w:rPr>
      </w:pPr>
      <w:r>
        <w:rPr>
          <w:b/>
          <w:sz w:val="24"/>
          <w:szCs w:val="24"/>
        </w:rPr>
        <w:t>Grant Round:</w:t>
      </w:r>
      <w:r w:rsidR="00EB7890">
        <w:rPr>
          <w:b/>
          <w:sz w:val="24"/>
          <w:szCs w:val="24"/>
        </w:rPr>
        <w:t xml:space="preserve"> </w:t>
      </w:r>
      <w:r w:rsidR="00EB7890" w:rsidRPr="002E3388">
        <w:rPr>
          <w:sz w:val="24"/>
          <w:szCs w:val="24"/>
        </w:rPr>
        <w:t>19</w:t>
      </w:r>
    </w:p>
    <w:p w14:paraId="41045492" w14:textId="3468F2E1" w:rsidR="00240544" w:rsidRPr="004F2656" w:rsidRDefault="003E1BCB" w:rsidP="664AA16F">
      <w:pPr>
        <w:ind w:left="360"/>
        <w:rPr>
          <w:b/>
          <w:bCs/>
          <w:sz w:val="24"/>
          <w:szCs w:val="24"/>
        </w:rPr>
      </w:pPr>
      <w:r w:rsidRPr="664AA16F">
        <w:rPr>
          <w:b/>
          <w:bCs/>
          <w:sz w:val="24"/>
          <w:szCs w:val="24"/>
        </w:rPr>
        <w:t>Grant</w:t>
      </w:r>
      <w:r w:rsidR="00687254" w:rsidRPr="664AA16F">
        <w:rPr>
          <w:b/>
          <w:bCs/>
          <w:sz w:val="24"/>
          <w:szCs w:val="24"/>
        </w:rPr>
        <w:t xml:space="preserve"> Number</w:t>
      </w:r>
      <w:r w:rsidRPr="664AA16F">
        <w:rPr>
          <w:b/>
          <w:bCs/>
          <w:sz w:val="24"/>
          <w:szCs w:val="24"/>
        </w:rPr>
        <w:t>:</w:t>
      </w:r>
      <w:r w:rsidR="00EB7890" w:rsidRPr="664AA16F">
        <w:rPr>
          <w:b/>
          <w:bCs/>
          <w:sz w:val="24"/>
          <w:szCs w:val="24"/>
        </w:rPr>
        <w:t xml:space="preserve"> </w:t>
      </w:r>
      <w:r w:rsidR="00EB7890" w:rsidRPr="664AA16F">
        <w:rPr>
          <w:sz w:val="24"/>
          <w:szCs w:val="24"/>
        </w:rPr>
        <w:t>567</w:t>
      </w:r>
      <w:r w:rsidR="00F22A9B" w:rsidRPr="664AA16F">
        <w:rPr>
          <w:sz w:val="24"/>
          <w:szCs w:val="24"/>
        </w:rPr>
        <w:t xml:space="preserve"> “Advancing Equity through Creating a No-Cost Textbook for GGC 1000 First-Year Seminar”</w:t>
      </w:r>
    </w:p>
    <w:p w14:paraId="65C4B013" w14:textId="49D670E8" w:rsidR="00687254" w:rsidRDefault="00687254" w:rsidP="00687254">
      <w:pPr>
        <w:ind w:left="360"/>
        <w:rPr>
          <w:b/>
          <w:sz w:val="24"/>
          <w:szCs w:val="24"/>
        </w:rPr>
      </w:pPr>
      <w:r w:rsidRPr="004F2656">
        <w:rPr>
          <w:b/>
          <w:sz w:val="24"/>
          <w:szCs w:val="24"/>
        </w:rPr>
        <w:t>Institution Name(s</w:t>
      </w:r>
      <w:r w:rsidR="003E1BCB" w:rsidRPr="004F2656">
        <w:rPr>
          <w:b/>
          <w:sz w:val="24"/>
          <w:szCs w:val="24"/>
        </w:rPr>
        <w:t>):</w:t>
      </w:r>
      <w:r w:rsidR="00EB7890">
        <w:rPr>
          <w:b/>
          <w:sz w:val="24"/>
          <w:szCs w:val="24"/>
        </w:rPr>
        <w:t xml:space="preserve"> </w:t>
      </w:r>
      <w:r w:rsidR="00EB7890" w:rsidRPr="0056369F">
        <w:rPr>
          <w:sz w:val="24"/>
          <w:szCs w:val="24"/>
        </w:rPr>
        <w:t>Georgia Gwinnett College</w:t>
      </w:r>
    </w:p>
    <w:p w14:paraId="28FD8E6E" w14:textId="6B4522DB" w:rsidR="0033401E" w:rsidRPr="004F2656" w:rsidRDefault="6150DB48" w:rsidP="6150DB48">
      <w:pPr>
        <w:ind w:left="360"/>
        <w:rPr>
          <w:b/>
          <w:bCs/>
          <w:sz w:val="24"/>
          <w:szCs w:val="24"/>
        </w:rPr>
      </w:pPr>
      <w:r w:rsidRPr="6150DB48">
        <w:rPr>
          <w:b/>
          <w:bCs/>
          <w:sz w:val="24"/>
          <w:szCs w:val="24"/>
        </w:rPr>
        <w:t xml:space="preserve">Project Lead: </w:t>
      </w:r>
      <w:r w:rsidRPr="6150DB48">
        <w:rPr>
          <w:sz w:val="24"/>
          <w:szCs w:val="24"/>
        </w:rPr>
        <w:t>Dr. Catherine Thomas</w:t>
      </w:r>
    </w:p>
    <w:p w14:paraId="6A7C5B5B" w14:textId="71435C34" w:rsidR="00687254" w:rsidRDefault="00687254" w:rsidP="00687254">
      <w:pPr>
        <w:ind w:left="360"/>
        <w:rPr>
          <w:b/>
          <w:sz w:val="24"/>
          <w:szCs w:val="24"/>
        </w:rPr>
      </w:pPr>
      <w:r w:rsidRPr="004F2656">
        <w:rPr>
          <w:b/>
          <w:sz w:val="24"/>
          <w:szCs w:val="24"/>
        </w:rPr>
        <w:t>Team Members (Name, Title, Department, Institutions if different, and email address for each)</w:t>
      </w:r>
      <w:r w:rsidR="003E1BCB" w:rsidRPr="004F2656">
        <w:rPr>
          <w:b/>
          <w:sz w:val="24"/>
          <w:szCs w:val="24"/>
        </w:rPr>
        <w:t>:</w:t>
      </w:r>
    </w:p>
    <w:tbl>
      <w:tblPr>
        <w:tblStyle w:val="PlainTable1"/>
        <w:tblW w:w="9173" w:type="dxa"/>
        <w:tblLayout w:type="fixed"/>
        <w:tblLook w:val="04A0" w:firstRow="1" w:lastRow="0" w:firstColumn="1" w:lastColumn="0" w:noHBand="0" w:noVBand="1"/>
      </w:tblPr>
      <w:tblGrid>
        <w:gridCol w:w="2429"/>
        <w:gridCol w:w="1706"/>
        <w:gridCol w:w="1706"/>
        <w:gridCol w:w="3332"/>
      </w:tblGrid>
      <w:tr w:rsidR="00EB7890" w14:paraId="3B11E893" w14:textId="77777777" w:rsidTr="6150DB4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29" w:type="dxa"/>
          </w:tcPr>
          <w:p w14:paraId="10A9113B" w14:textId="77777777" w:rsidR="00EB7890" w:rsidRDefault="00EB7890" w:rsidP="00A132EE">
            <w:r>
              <w:t>Name</w:t>
            </w:r>
          </w:p>
        </w:tc>
        <w:tc>
          <w:tcPr>
            <w:tcW w:w="1706" w:type="dxa"/>
          </w:tcPr>
          <w:p w14:paraId="52AF61A8" w14:textId="124DA73E" w:rsidR="00EB7890" w:rsidRDefault="00EB7890" w:rsidP="00A132EE">
            <w:pPr>
              <w:cnfStyle w:val="100000000000" w:firstRow="1" w:lastRow="0" w:firstColumn="0" w:lastColumn="0" w:oddVBand="0" w:evenVBand="0" w:oddHBand="0" w:evenHBand="0" w:firstRowFirstColumn="0" w:firstRowLastColumn="0" w:lastRowFirstColumn="0" w:lastRowLastColumn="0"/>
            </w:pPr>
            <w:r>
              <w:t>Title</w:t>
            </w:r>
          </w:p>
        </w:tc>
        <w:tc>
          <w:tcPr>
            <w:tcW w:w="1706" w:type="dxa"/>
          </w:tcPr>
          <w:p w14:paraId="7DBE2CB4" w14:textId="609B1F88" w:rsidR="00EB7890" w:rsidRDefault="00EB7890" w:rsidP="00A132EE">
            <w:pPr>
              <w:cnfStyle w:val="100000000000" w:firstRow="1" w:lastRow="0" w:firstColumn="0" w:lastColumn="0" w:oddVBand="0" w:evenVBand="0" w:oddHBand="0" w:evenHBand="0" w:firstRowFirstColumn="0" w:firstRowLastColumn="0" w:lastRowFirstColumn="0" w:lastRowLastColumn="0"/>
            </w:pPr>
            <w:r>
              <w:t>Department</w:t>
            </w:r>
          </w:p>
        </w:tc>
        <w:tc>
          <w:tcPr>
            <w:tcW w:w="3332" w:type="dxa"/>
          </w:tcPr>
          <w:p w14:paraId="4106C074" w14:textId="5FF2B95E" w:rsidR="00EB7890" w:rsidRDefault="00EB7890" w:rsidP="00A132EE">
            <w:pPr>
              <w:cnfStyle w:val="100000000000" w:firstRow="1" w:lastRow="0" w:firstColumn="0" w:lastColumn="0" w:oddVBand="0" w:evenVBand="0" w:oddHBand="0" w:evenHBand="0" w:firstRowFirstColumn="0" w:firstRowLastColumn="0" w:lastRowFirstColumn="0" w:lastRowLastColumn="0"/>
            </w:pPr>
            <w:r>
              <w:t>Email address</w:t>
            </w:r>
          </w:p>
        </w:tc>
      </w:tr>
      <w:tr w:rsidR="00EB7890" w14:paraId="668B1F0B" w14:textId="77777777" w:rsidTr="6150DB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9" w:type="dxa"/>
          </w:tcPr>
          <w:p w14:paraId="54039244" w14:textId="79104EDC" w:rsidR="00EB7890" w:rsidRDefault="6150DB48" w:rsidP="00A132EE">
            <w:r>
              <w:t>Dr. Catherine Thomas</w:t>
            </w:r>
          </w:p>
        </w:tc>
        <w:tc>
          <w:tcPr>
            <w:tcW w:w="1706" w:type="dxa"/>
          </w:tcPr>
          <w:p w14:paraId="49BD50D1" w14:textId="5202BDA8" w:rsidR="00EB7890" w:rsidRDefault="00EB7890" w:rsidP="00A132EE">
            <w:pPr>
              <w:cnfStyle w:val="000000100000" w:firstRow="0" w:lastRow="0" w:firstColumn="0" w:lastColumn="0" w:oddVBand="0" w:evenVBand="0" w:oddHBand="1" w:evenHBand="0" w:firstRowFirstColumn="0" w:firstRowLastColumn="0" w:lastRowFirstColumn="0" w:lastRowLastColumn="0"/>
            </w:pPr>
            <w:r>
              <w:t>Assoc. Dean for Student Success &amp; Prof. of English</w:t>
            </w:r>
          </w:p>
        </w:tc>
        <w:tc>
          <w:tcPr>
            <w:tcW w:w="1706" w:type="dxa"/>
          </w:tcPr>
          <w:p w14:paraId="388F5D26" w14:textId="7707780C" w:rsidR="00EB7890" w:rsidRDefault="00EB7890" w:rsidP="00A132EE">
            <w:pPr>
              <w:cnfStyle w:val="000000100000" w:firstRow="0" w:lastRow="0" w:firstColumn="0" w:lastColumn="0" w:oddVBand="0" w:evenVBand="0" w:oddHBand="1" w:evenHBand="0" w:firstRowFirstColumn="0" w:firstRowLastColumn="0" w:lastRowFirstColumn="0" w:lastRowLastColumn="0"/>
            </w:pPr>
            <w:r>
              <w:t>Student Success</w:t>
            </w:r>
          </w:p>
        </w:tc>
        <w:tc>
          <w:tcPr>
            <w:tcW w:w="3332" w:type="dxa"/>
          </w:tcPr>
          <w:p w14:paraId="280F1AFD" w14:textId="0407C14D" w:rsidR="00EB7890" w:rsidRDefault="00AA1657" w:rsidP="00A132EE">
            <w:pPr>
              <w:cnfStyle w:val="000000100000" w:firstRow="0" w:lastRow="0" w:firstColumn="0" w:lastColumn="0" w:oddVBand="0" w:evenVBand="0" w:oddHBand="1" w:evenHBand="0" w:firstRowFirstColumn="0" w:firstRowLastColumn="0" w:lastRowFirstColumn="0" w:lastRowLastColumn="0"/>
            </w:pPr>
            <w:hyperlink r:id="rId9" w:history="1">
              <w:r w:rsidR="00EB7890" w:rsidRPr="00424E41">
                <w:rPr>
                  <w:rStyle w:val="Hyperlink"/>
                </w:rPr>
                <w:t>cthomas30@ggc.edu</w:t>
              </w:r>
            </w:hyperlink>
            <w:r w:rsidR="00EB7890">
              <w:t xml:space="preserve"> </w:t>
            </w:r>
          </w:p>
        </w:tc>
      </w:tr>
      <w:tr w:rsidR="00EB7890" w14:paraId="1A3C9EA6" w14:textId="77777777" w:rsidTr="6150DB48">
        <w:tc>
          <w:tcPr>
            <w:cnfStyle w:val="001000000000" w:firstRow="0" w:lastRow="0" w:firstColumn="1" w:lastColumn="0" w:oddVBand="0" w:evenVBand="0" w:oddHBand="0" w:evenHBand="0" w:firstRowFirstColumn="0" w:firstRowLastColumn="0" w:lastRowFirstColumn="0" w:lastRowLastColumn="0"/>
            <w:tcW w:w="2429" w:type="dxa"/>
          </w:tcPr>
          <w:p w14:paraId="74B92BC0" w14:textId="5B76C810" w:rsidR="00EB7890" w:rsidRDefault="6150DB48" w:rsidP="00A132EE">
            <w:r>
              <w:t>Dr. Jennifer Hurst-Kennedy</w:t>
            </w:r>
          </w:p>
        </w:tc>
        <w:tc>
          <w:tcPr>
            <w:tcW w:w="1706" w:type="dxa"/>
          </w:tcPr>
          <w:p w14:paraId="34418928" w14:textId="213858C7" w:rsidR="00EB7890" w:rsidRDefault="002E3388" w:rsidP="00A132EE">
            <w:pPr>
              <w:cnfStyle w:val="000000000000" w:firstRow="0" w:lastRow="0" w:firstColumn="0" w:lastColumn="0" w:oddVBand="0" w:evenVBand="0" w:oddHBand="0" w:evenHBand="0" w:firstRowFirstColumn="0" w:firstRowLastColumn="0" w:lastRowFirstColumn="0" w:lastRowLastColumn="0"/>
            </w:pPr>
            <w:r>
              <w:t>Assoc. Prof. of Biology &amp; Chair of Studies</w:t>
            </w:r>
          </w:p>
        </w:tc>
        <w:tc>
          <w:tcPr>
            <w:tcW w:w="1706" w:type="dxa"/>
          </w:tcPr>
          <w:p w14:paraId="394294BD" w14:textId="5BE67D85" w:rsidR="00EB7890" w:rsidRDefault="002E3388" w:rsidP="00A132EE">
            <w:pPr>
              <w:cnfStyle w:val="000000000000" w:firstRow="0" w:lastRow="0" w:firstColumn="0" w:lastColumn="0" w:oddVBand="0" w:evenVBand="0" w:oddHBand="0" w:evenHBand="0" w:firstRowFirstColumn="0" w:firstRowLastColumn="0" w:lastRowFirstColumn="0" w:lastRowLastColumn="0"/>
            </w:pPr>
            <w:r>
              <w:t>Biology</w:t>
            </w:r>
          </w:p>
        </w:tc>
        <w:tc>
          <w:tcPr>
            <w:tcW w:w="3332" w:type="dxa"/>
          </w:tcPr>
          <w:p w14:paraId="7ED05AE9" w14:textId="57281F38" w:rsidR="00EB7890" w:rsidRDefault="00AA1657" w:rsidP="00A132EE">
            <w:pPr>
              <w:cnfStyle w:val="000000000000" w:firstRow="0" w:lastRow="0" w:firstColumn="0" w:lastColumn="0" w:oddVBand="0" w:evenVBand="0" w:oddHBand="0" w:evenHBand="0" w:firstRowFirstColumn="0" w:firstRowLastColumn="0" w:lastRowFirstColumn="0" w:lastRowLastColumn="0"/>
            </w:pPr>
            <w:hyperlink r:id="rId10" w:history="1">
              <w:r w:rsidR="00EB7890" w:rsidRPr="00424E41">
                <w:rPr>
                  <w:rStyle w:val="Hyperlink"/>
                </w:rPr>
                <w:t>jhurstkennedy@ggc.edu</w:t>
              </w:r>
            </w:hyperlink>
            <w:r w:rsidR="00EB7890">
              <w:t xml:space="preserve"> </w:t>
            </w:r>
          </w:p>
        </w:tc>
      </w:tr>
      <w:tr w:rsidR="00EB7890" w14:paraId="62FD22DB" w14:textId="77777777" w:rsidTr="6150DB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9" w:type="dxa"/>
          </w:tcPr>
          <w:p w14:paraId="3643F020" w14:textId="719211EE" w:rsidR="00EB7890" w:rsidRDefault="6150DB48" w:rsidP="00A132EE">
            <w:r>
              <w:t>Mr. Kenan Kurspahic</w:t>
            </w:r>
          </w:p>
        </w:tc>
        <w:tc>
          <w:tcPr>
            <w:tcW w:w="1706" w:type="dxa"/>
          </w:tcPr>
          <w:p w14:paraId="74B8A53C" w14:textId="0653F57E" w:rsidR="00EB7890" w:rsidRDefault="00EB7890" w:rsidP="00A132EE">
            <w:pPr>
              <w:cnfStyle w:val="000000100000" w:firstRow="0" w:lastRow="0" w:firstColumn="0" w:lastColumn="0" w:oddVBand="0" w:evenVBand="0" w:oddHBand="1" w:evenHBand="0" w:firstRowFirstColumn="0" w:firstRowLastColumn="0" w:lastRowFirstColumn="0" w:lastRowLastColumn="0"/>
            </w:pPr>
            <w:r>
              <w:t>Senior Student Success Advisor</w:t>
            </w:r>
          </w:p>
        </w:tc>
        <w:tc>
          <w:tcPr>
            <w:tcW w:w="1706" w:type="dxa"/>
          </w:tcPr>
          <w:p w14:paraId="08F54261" w14:textId="5ECC7DBE" w:rsidR="00EB7890" w:rsidRDefault="00EB7890" w:rsidP="00A132EE">
            <w:pPr>
              <w:cnfStyle w:val="000000100000" w:firstRow="0" w:lastRow="0" w:firstColumn="0" w:lastColumn="0" w:oddVBand="0" w:evenVBand="0" w:oddHBand="1" w:evenHBand="0" w:firstRowFirstColumn="0" w:firstRowLastColumn="0" w:lastRowFirstColumn="0" w:lastRowLastColumn="0"/>
            </w:pPr>
            <w:r>
              <w:t>Student Success Advising Center</w:t>
            </w:r>
          </w:p>
        </w:tc>
        <w:tc>
          <w:tcPr>
            <w:tcW w:w="3332" w:type="dxa"/>
          </w:tcPr>
          <w:p w14:paraId="675FD862" w14:textId="73F13E70" w:rsidR="00EB7890" w:rsidRDefault="00AA1657" w:rsidP="00A132EE">
            <w:pPr>
              <w:cnfStyle w:val="000000100000" w:firstRow="0" w:lastRow="0" w:firstColumn="0" w:lastColumn="0" w:oddVBand="0" w:evenVBand="0" w:oddHBand="1" w:evenHBand="0" w:firstRowFirstColumn="0" w:firstRowLastColumn="0" w:lastRowFirstColumn="0" w:lastRowLastColumn="0"/>
            </w:pPr>
            <w:hyperlink r:id="rId11" w:history="1">
              <w:r w:rsidR="00EB7890" w:rsidRPr="00424E41">
                <w:rPr>
                  <w:rStyle w:val="Hyperlink"/>
                </w:rPr>
                <w:t>kkurspah@ggc.edu</w:t>
              </w:r>
            </w:hyperlink>
            <w:r w:rsidR="00EB7890">
              <w:t xml:space="preserve"> </w:t>
            </w:r>
          </w:p>
        </w:tc>
      </w:tr>
      <w:tr w:rsidR="00EB7890" w14:paraId="1C9BD6E5" w14:textId="77777777" w:rsidTr="6150DB48">
        <w:tc>
          <w:tcPr>
            <w:cnfStyle w:val="001000000000" w:firstRow="0" w:lastRow="0" w:firstColumn="1" w:lastColumn="0" w:oddVBand="0" w:evenVBand="0" w:oddHBand="0" w:evenHBand="0" w:firstRowFirstColumn="0" w:firstRowLastColumn="0" w:lastRowFirstColumn="0" w:lastRowLastColumn="0"/>
            <w:tcW w:w="2429" w:type="dxa"/>
          </w:tcPr>
          <w:p w14:paraId="3F8696D5" w14:textId="359848B9" w:rsidR="00EB7890" w:rsidRDefault="6150DB48" w:rsidP="00A132EE">
            <w:r>
              <w:lastRenderedPageBreak/>
              <w:t>Dr. Rolando (Roy) Marquez</w:t>
            </w:r>
          </w:p>
        </w:tc>
        <w:tc>
          <w:tcPr>
            <w:tcW w:w="1706" w:type="dxa"/>
          </w:tcPr>
          <w:p w14:paraId="3F78C38D" w14:textId="12855BC3" w:rsidR="00EB7890" w:rsidRDefault="00EB7890" w:rsidP="00A132EE">
            <w:pPr>
              <w:cnfStyle w:val="000000000000" w:firstRow="0" w:lastRow="0" w:firstColumn="0" w:lastColumn="0" w:oddVBand="0" w:evenVBand="0" w:oddHBand="0" w:evenHBand="0" w:firstRowFirstColumn="0" w:firstRowLastColumn="0" w:lastRowFirstColumn="0" w:lastRowLastColumn="0"/>
            </w:pPr>
            <w:r>
              <w:t>Assoc. Director for the Center for Teaching Excellence &amp; Asst. Prof. of Instructional Technology</w:t>
            </w:r>
          </w:p>
        </w:tc>
        <w:tc>
          <w:tcPr>
            <w:tcW w:w="1706" w:type="dxa"/>
          </w:tcPr>
          <w:p w14:paraId="7EEAF436" w14:textId="29F02625" w:rsidR="00EB7890" w:rsidRDefault="00EB7890" w:rsidP="00A132EE">
            <w:pPr>
              <w:cnfStyle w:val="000000000000" w:firstRow="0" w:lastRow="0" w:firstColumn="0" w:lastColumn="0" w:oddVBand="0" w:evenVBand="0" w:oddHBand="0" w:evenHBand="0" w:firstRowFirstColumn="0" w:firstRowLastColumn="0" w:lastRowFirstColumn="0" w:lastRowLastColumn="0"/>
            </w:pPr>
            <w:r>
              <w:t>Center for Teaching Excellence</w:t>
            </w:r>
          </w:p>
        </w:tc>
        <w:tc>
          <w:tcPr>
            <w:tcW w:w="3332" w:type="dxa"/>
          </w:tcPr>
          <w:p w14:paraId="2955453E" w14:textId="37BD9431" w:rsidR="00EB7890" w:rsidRDefault="00AA1657" w:rsidP="00A132EE">
            <w:pPr>
              <w:cnfStyle w:val="000000000000" w:firstRow="0" w:lastRow="0" w:firstColumn="0" w:lastColumn="0" w:oddVBand="0" w:evenVBand="0" w:oddHBand="0" w:evenHBand="0" w:firstRowFirstColumn="0" w:firstRowLastColumn="0" w:lastRowFirstColumn="0" w:lastRowLastColumn="0"/>
            </w:pPr>
            <w:hyperlink r:id="rId12" w:history="1">
              <w:r w:rsidR="00EB7890" w:rsidRPr="00424E41">
                <w:rPr>
                  <w:rStyle w:val="Hyperlink"/>
                </w:rPr>
                <w:t>rmarquez1@ggc.edu</w:t>
              </w:r>
            </w:hyperlink>
            <w:r w:rsidR="00EB7890">
              <w:t xml:space="preserve"> </w:t>
            </w:r>
          </w:p>
          <w:p w14:paraId="474E2986" w14:textId="77777777" w:rsidR="00EB7890" w:rsidRDefault="00EB7890" w:rsidP="00A132EE">
            <w:pPr>
              <w:cnfStyle w:val="000000000000" w:firstRow="0" w:lastRow="0" w:firstColumn="0" w:lastColumn="0" w:oddVBand="0" w:evenVBand="0" w:oddHBand="0" w:evenHBand="0" w:firstRowFirstColumn="0" w:firstRowLastColumn="0" w:lastRowFirstColumn="0" w:lastRowLastColumn="0"/>
            </w:pPr>
          </w:p>
        </w:tc>
      </w:tr>
      <w:tr w:rsidR="002E3388" w14:paraId="38F98D14" w14:textId="77777777" w:rsidTr="6150DB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9" w:type="dxa"/>
          </w:tcPr>
          <w:p w14:paraId="0E4A74BA" w14:textId="3CBA8E83" w:rsidR="002E3388" w:rsidRDefault="6150DB48" w:rsidP="00EB7890">
            <w:r>
              <w:t>Ms. Cara Werner</w:t>
            </w:r>
          </w:p>
        </w:tc>
        <w:tc>
          <w:tcPr>
            <w:tcW w:w="1706" w:type="dxa"/>
          </w:tcPr>
          <w:p w14:paraId="774E0754" w14:textId="15D313C1" w:rsidR="002E3388" w:rsidRDefault="002E3388" w:rsidP="00EB7890">
            <w:pPr>
              <w:cnfStyle w:val="000000100000" w:firstRow="0" w:lastRow="0" w:firstColumn="0" w:lastColumn="0" w:oddVBand="0" w:evenVBand="0" w:oddHBand="1" w:evenHBand="0" w:firstRowFirstColumn="0" w:firstRowLastColumn="0" w:lastRowFirstColumn="0" w:lastRowLastColumn="0"/>
            </w:pPr>
            <w:r>
              <w:t>Senior Student Success Advisor</w:t>
            </w:r>
          </w:p>
        </w:tc>
        <w:tc>
          <w:tcPr>
            <w:tcW w:w="5038" w:type="dxa"/>
            <w:gridSpan w:val="2"/>
          </w:tcPr>
          <w:p w14:paraId="596CAB6E" w14:textId="37A179ED" w:rsidR="002E3388" w:rsidRDefault="002E3388" w:rsidP="00EB7890">
            <w:pPr>
              <w:cnfStyle w:val="000000100000" w:firstRow="0" w:lastRow="0" w:firstColumn="0" w:lastColumn="0" w:oddVBand="0" w:evenVBand="0" w:oddHBand="1" w:evenHBand="0" w:firstRowFirstColumn="0" w:firstRowLastColumn="0" w:lastRowFirstColumn="0" w:lastRowLastColumn="0"/>
            </w:pPr>
            <w:r>
              <w:t xml:space="preserve"> No longer working at GGC as of SP22. </w:t>
            </w:r>
          </w:p>
        </w:tc>
      </w:tr>
      <w:tr w:rsidR="00EB7890" w14:paraId="1EF8BEB8" w14:textId="77777777" w:rsidTr="6150DB48">
        <w:tc>
          <w:tcPr>
            <w:cnfStyle w:val="001000000000" w:firstRow="0" w:lastRow="0" w:firstColumn="1" w:lastColumn="0" w:oddVBand="0" w:evenVBand="0" w:oddHBand="0" w:evenHBand="0" w:firstRowFirstColumn="0" w:firstRowLastColumn="0" w:lastRowFirstColumn="0" w:lastRowLastColumn="0"/>
            <w:tcW w:w="2429" w:type="dxa"/>
          </w:tcPr>
          <w:p w14:paraId="22E30303" w14:textId="16D76BD3" w:rsidR="00EB7890" w:rsidRDefault="6150DB48" w:rsidP="00EB7890">
            <w:r>
              <w:t>Ms. Charlotte Reames</w:t>
            </w:r>
          </w:p>
        </w:tc>
        <w:tc>
          <w:tcPr>
            <w:tcW w:w="1706" w:type="dxa"/>
          </w:tcPr>
          <w:p w14:paraId="2CA8E6F7" w14:textId="6034071D" w:rsidR="00EB7890" w:rsidRDefault="002E3388" w:rsidP="00EB7890">
            <w:pPr>
              <w:cnfStyle w:val="000000000000" w:firstRow="0" w:lastRow="0" w:firstColumn="0" w:lastColumn="0" w:oddVBand="0" w:evenVBand="0" w:oddHBand="0" w:evenHBand="0" w:firstRowFirstColumn="0" w:firstRowLastColumn="0" w:lastRowFirstColumn="0" w:lastRowLastColumn="0"/>
            </w:pPr>
            <w:r>
              <w:t>Student</w:t>
            </w:r>
          </w:p>
        </w:tc>
        <w:tc>
          <w:tcPr>
            <w:tcW w:w="1706" w:type="dxa"/>
          </w:tcPr>
          <w:p w14:paraId="6D45528F" w14:textId="667FD02C" w:rsidR="00EB7890" w:rsidRDefault="002E3388" w:rsidP="00EB7890">
            <w:pPr>
              <w:cnfStyle w:val="000000000000" w:firstRow="0" w:lastRow="0" w:firstColumn="0" w:lastColumn="0" w:oddVBand="0" w:evenVBand="0" w:oddHBand="0" w:evenHBand="0" w:firstRowFirstColumn="0" w:firstRowLastColumn="0" w:lastRowFirstColumn="0" w:lastRowLastColumn="0"/>
            </w:pPr>
            <w:r>
              <w:t>English</w:t>
            </w:r>
          </w:p>
        </w:tc>
        <w:tc>
          <w:tcPr>
            <w:tcW w:w="3332" w:type="dxa"/>
          </w:tcPr>
          <w:p w14:paraId="79F74AAD" w14:textId="655F6A93" w:rsidR="00EB7890" w:rsidRDefault="002E3388" w:rsidP="00EB7890">
            <w:pPr>
              <w:cnfStyle w:val="000000000000" w:firstRow="0" w:lastRow="0" w:firstColumn="0" w:lastColumn="0" w:oddVBand="0" w:evenVBand="0" w:oddHBand="0" w:evenHBand="0" w:firstRowFirstColumn="0" w:firstRowLastColumn="0" w:lastRowFirstColumn="0" w:lastRowLastColumn="0"/>
            </w:pPr>
            <w:r>
              <w:t>Graduated Dec. 2022</w:t>
            </w:r>
          </w:p>
        </w:tc>
      </w:tr>
    </w:tbl>
    <w:p w14:paraId="40352BC7" w14:textId="77777777" w:rsidR="00EB7890" w:rsidRPr="004F2656" w:rsidRDefault="00EB7890" w:rsidP="00687254">
      <w:pPr>
        <w:ind w:left="360"/>
        <w:rPr>
          <w:b/>
          <w:sz w:val="24"/>
          <w:szCs w:val="24"/>
        </w:rPr>
      </w:pPr>
    </w:p>
    <w:p w14:paraId="46A62745" w14:textId="26982EE1" w:rsidR="00DF79E1" w:rsidRPr="0056369F" w:rsidRDefault="00DF79E1" w:rsidP="00E167BE">
      <w:pPr>
        <w:ind w:left="360"/>
        <w:rPr>
          <w:sz w:val="24"/>
          <w:szCs w:val="24"/>
        </w:rPr>
      </w:pPr>
      <w:r w:rsidRPr="004F2656">
        <w:rPr>
          <w:b/>
          <w:sz w:val="24"/>
          <w:szCs w:val="24"/>
        </w:rPr>
        <w:t>Course Name(s) and Course Numbers</w:t>
      </w:r>
      <w:r w:rsidR="003E1BCB" w:rsidRPr="004F2656">
        <w:rPr>
          <w:b/>
          <w:sz w:val="24"/>
          <w:szCs w:val="24"/>
        </w:rPr>
        <w:t>:</w:t>
      </w:r>
      <w:r w:rsidR="0056369F">
        <w:rPr>
          <w:b/>
          <w:sz w:val="24"/>
          <w:szCs w:val="24"/>
        </w:rPr>
        <w:t xml:space="preserve"> </w:t>
      </w:r>
      <w:r w:rsidR="0056369F" w:rsidRPr="0056369F">
        <w:rPr>
          <w:sz w:val="24"/>
          <w:szCs w:val="24"/>
        </w:rPr>
        <w:t>GGC 1000 First-Year Seminar</w:t>
      </w:r>
    </w:p>
    <w:p w14:paraId="3E617D79" w14:textId="3811521C" w:rsidR="00DF79E1" w:rsidRPr="004F2656" w:rsidRDefault="00DF79E1" w:rsidP="00E167BE">
      <w:pPr>
        <w:ind w:left="360"/>
        <w:rPr>
          <w:b/>
          <w:sz w:val="24"/>
          <w:szCs w:val="24"/>
        </w:rPr>
      </w:pPr>
      <w:r w:rsidRPr="004F2656">
        <w:rPr>
          <w:b/>
          <w:sz w:val="24"/>
          <w:szCs w:val="24"/>
        </w:rPr>
        <w:t>Semester Project Began</w:t>
      </w:r>
      <w:r w:rsidR="003E1BCB" w:rsidRPr="004F2656">
        <w:rPr>
          <w:b/>
          <w:sz w:val="24"/>
          <w:szCs w:val="24"/>
        </w:rPr>
        <w:t>:</w:t>
      </w:r>
      <w:r w:rsidR="0056369F">
        <w:rPr>
          <w:b/>
          <w:sz w:val="24"/>
          <w:szCs w:val="24"/>
        </w:rPr>
        <w:t xml:space="preserve"> </w:t>
      </w:r>
      <w:r w:rsidR="0056369F" w:rsidRPr="0056369F">
        <w:rPr>
          <w:sz w:val="24"/>
          <w:szCs w:val="24"/>
        </w:rPr>
        <w:t>Fall 2021</w:t>
      </w:r>
      <w:r w:rsidR="0056369F">
        <w:rPr>
          <w:sz w:val="24"/>
          <w:szCs w:val="24"/>
        </w:rPr>
        <w:t xml:space="preserve"> pilot</w:t>
      </w:r>
    </w:p>
    <w:p w14:paraId="4D2A60B3" w14:textId="62C08642" w:rsidR="00687254" w:rsidRPr="004F2656" w:rsidRDefault="0033401E" w:rsidP="00E167BE">
      <w:pPr>
        <w:ind w:left="360"/>
        <w:rPr>
          <w:b/>
          <w:sz w:val="24"/>
          <w:szCs w:val="24"/>
        </w:rPr>
      </w:pPr>
      <w:r>
        <w:rPr>
          <w:b/>
          <w:sz w:val="24"/>
          <w:szCs w:val="24"/>
        </w:rPr>
        <w:t xml:space="preserve">Final </w:t>
      </w:r>
      <w:r w:rsidR="00687254" w:rsidRPr="004F2656">
        <w:rPr>
          <w:b/>
          <w:sz w:val="24"/>
          <w:szCs w:val="24"/>
        </w:rPr>
        <w:t>Semester of Implementation</w:t>
      </w:r>
      <w:r w:rsidR="003E1BCB" w:rsidRPr="004F2656">
        <w:rPr>
          <w:b/>
          <w:sz w:val="24"/>
          <w:szCs w:val="24"/>
        </w:rPr>
        <w:t>:</w:t>
      </w:r>
      <w:r w:rsidR="0056369F">
        <w:rPr>
          <w:b/>
          <w:sz w:val="24"/>
          <w:szCs w:val="24"/>
        </w:rPr>
        <w:t xml:space="preserve"> </w:t>
      </w:r>
      <w:r w:rsidR="0056369F" w:rsidRPr="0056369F">
        <w:rPr>
          <w:sz w:val="24"/>
          <w:szCs w:val="24"/>
        </w:rPr>
        <w:t>Spring 2022</w:t>
      </w:r>
      <w:r w:rsidR="0056369F">
        <w:rPr>
          <w:sz w:val="24"/>
          <w:szCs w:val="24"/>
        </w:rPr>
        <w:t xml:space="preserve"> (scaled to all sections)</w:t>
      </w:r>
    </w:p>
    <w:p w14:paraId="5E081281" w14:textId="39B58E47" w:rsidR="00687254" w:rsidRDefault="6150DB48" w:rsidP="6150DB48">
      <w:pPr>
        <w:ind w:left="360"/>
        <w:rPr>
          <w:b/>
          <w:bCs/>
          <w:sz w:val="24"/>
          <w:szCs w:val="24"/>
        </w:rPr>
      </w:pPr>
      <w:r w:rsidRPr="6150DB48">
        <w:rPr>
          <w:b/>
          <w:bCs/>
          <w:sz w:val="24"/>
          <w:szCs w:val="24"/>
        </w:rPr>
        <w:t xml:space="preserve">Total Number of Students Affected During Project: </w:t>
      </w:r>
      <w:r w:rsidRPr="6150DB48">
        <w:rPr>
          <w:sz w:val="24"/>
          <w:szCs w:val="24"/>
        </w:rPr>
        <w:t xml:space="preserve"> 133 </w:t>
      </w:r>
    </w:p>
    <w:p w14:paraId="6674B072" w14:textId="080649D1" w:rsidR="00DF79E1" w:rsidRPr="004F2656" w:rsidRDefault="00DF79E1" w:rsidP="003F4D85">
      <w:pPr>
        <w:pStyle w:val="Heading1"/>
        <w:numPr>
          <w:ilvl w:val="0"/>
          <w:numId w:val="24"/>
        </w:numPr>
        <w:ind w:left="360"/>
      </w:pPr>
      <w:r w:rsidRPr="004F2656">
        <w:t>Narrative</w:t>
      </w:r>
    </w:p>
    <w:p w14:paraId="65E3CD32" w14:textId="1B2FBA30" w:rsidR="00DF79E1" w:rsidRPr="003F4D85" w:rsidRDefault="6150DB48" w:rsidP="6150DB48">
      <w:pPr>
        <w:pStyle w:val="ListParagraph"/>
        <w:numPr>
          <w:ilvl w:val="1"/>
          <w:numId w:val="24"/>
        </w:numPr>
        <w:ind w:left="360"/>
        <w:rPr>
          <w:i/>
          <w:iCs/>
          <w:sz w:val="24"/>
          <w:szCs w:val="24"/>
        </w:rPr>
      </w:pPr>
      <w:r w:rsidRPr="6150DB48">
        <w:rPr>
          <w:b/>
          <w:bCs/>
          <w:i/>
          <w:iCs/>
          <w:sz w:val="24"/>
          <w:szCs w:val="24"/>
        </w:rPr>
        <w:t xml:space="preserve">Describe the key outcomes, whether positive, negative, or interesting, of your project. </w:t>
      </w:r>
      <w:r w:rsidRPr="6150DB48">
        <w:rPr>
          <w:i/>
          <w:iCs/>
          <w:sz w:val="24"/>
          <w:szCs w:val="24"/>
        </w:rPr>
        <w:t xml:space="preserve"> Include:</w:t>
      </w:r>
    </w:p>
    <w:p w14:paraId="38E42C53" w14:textId="10A4609E" w:rsidR="00DF79E1" w:rsidRPr="003F4D85" w:rsidRDefault="00DF79E1" w:rsidP="00DF79E1">
      <w:pPr>
        <w:pStyle w:val="ListParagraph"/>
        <w:numPr>
          <w:ilvl w:val="0"/>
          <w:numId w:val="14"/>
        </w:numPr>
        <w:rPr>
          <w:i/>
          <w:iCs/>
          <w:sz w:val="24"/>
          <w:szCs w:val="24"/>
        </w:rPr>
      </w:pPr>
      <w:r w:rsidRPr="003F4D85">
        <w:rPr>
          <w:i/>
          <w:iCs/>
          <w:sz w:val="24"/>
          <w:szCs w:val="24"/>
        </w:rPr>
        <w:t>Summary of your transformation experience, including challenges</w:t>
      </w:r>
      <w:r w:rsidR="00101A24" w:rsidRPr="003F4D85">
        <w:rPr>
          <w:i/>
          <w:iCs/>
          <w:sz w:val="24"/>
          <w:szCs w:val="24"/>
        </w:rPr>
        <w:t xml:space="preserve"> and accomplishments</w:t>
      </w:r>
    </w:p>
    <w:p w14:paraId="6F43F3B1" w14:textId="04E82367" w:rsidR="00DF79E1" w:rsidRPr="003F4D85" w:rsidRDefault="00DF79E1" w:rsidP="00DF79E1">
      <w:pPr>
        <w:pStyle w:val="ListParagraph"/>
        <w:numPr>
          <w:ilvl w:val="0"/>
          <w:numId w:val="14"/>
        </w:numPr>
        <w:rPr>
          <w:i/>
          <w:iCs/>
          <w:sz w:val="24"/>
          <w:szCs w:val="24"/>
        </w:rPr>
      </w:pPr>
      <w:r w:rsidRPr="003F4D85">
        <w:rPr>
          <w:i/>
          <w:iCs/>
          <w:sz w:val="24"/>
          <w:szCs w:val="24"/>
        </w:rPr>
        <w:t>Transformative impacts on your instruction</w:t>
      </w:r>
    </w:p>
    <w:p w14:paraId="37A6611B" w14:textId="7846721D" w:rsidR="00DF79E1" w:rsidRPr="003F4D85" w:rsidRDefault="6150DB48" w:rsidP="6150DB48">
      <w:pPr>
        <w:pStyle w:val="ListParagraph"/>
        <w:numPr>
          <w:ilvl w:val="0"/>
          <w:numId w:val="14"/>
        </w:numPr>
        <w:rPr>
          <w:i/>
          <w:iCs/>
          <w:sz w:val="24"/>
          <w:szCs w:val="24"/>
        </w:rPr>
      </w:pPr>
      <w:r w:rsidRPr="6150DB48">
        <w:rPr>
          <w:i/>
          <w:iCs/>
          <w:sz w:val="24"/>
          <w:szCs w:val="24"/>
        </w:rPr>
        <w:t>Transformative impacts on your students and their performance</w:t>
      </w:r>
    </w:p>
    <w:p w14:paraId="385318D5" w14:textId="4A6EAD7C" w:rsidR="6150DB48" w:rsidRDefault="6150DB48" w:rsidP="6150DB48">
      <w:pPr>
        <w:rPr>
          <w:i/>
          <w:iCs/>
          <w:sz w:val="24"/>
          <w:szCs w:val="24"/>
        </w:rPr>
      </w:pPr>
      <w:r w:rsidRPr="6150DB48">
        <w:rPr>
          <w:b/>
          <w:bCs/>
          <w:i/>
          <w:iCs/>
          <w:sz w:val="24"/>
          <w:szCs w:val="24"/>
        </w:rPr>
        <w:t>Summary</w:t>
      </w:r>
    </w:p>
    <w:p w14:paraId="160ADBC7" w14:textId="2615C654" w:rsidR="6150DB48" w:rsidRDefault="6150DB48" w:rsidP="6150DB48">
      <w:pPr>
        <w:ind w:left="360"/>
        <w:rPr>
          <w:sz w:val="24"/>
          <w:szCs w:val="24"/>
        </w:rPr>
      </w:pPr>
      <w:r w:rsidRPr="6150DB48">
        <w:rPr>
          <w:sz w:val="24"/>
          <w:szCs w:val="24"/>
        </w:rPr>
        <w:t>Our project, “Advancing Equity through Creating a No-Cost Textbook for GGC 1000 First-Year Seminar” had four stated goals:</w:t>
      </w:r>
    </w:p>
    <w:p w14:paraId="71E53EB0" w14:textId="49E6795A" w:rsidR="6150DB48" w:rsidRDefault="6150DB48" w:rsidP="6150DB48">
      <w:pPr>
        <w:pStyle w:val="ListParagraph"/>
        <w:numPr>
          <w:ilvl w:val="0"/>
          <w:numId w:val="6"/>
        </w:numPr>
        <w:rPr>
          <w:rFonts w:eastAsiaTheme="minorEastAsia"/>
          <w:sz w:val="24"/>
          <w:szCs w:val="24"/>
        </w:rPr>
      </w:pPr>
      <w:r w:rsidRPr="6150DB48">
        <w:rPr>
          <w:rFonts w:ascii="Calibri" w:eastAsia="Calibri" w:hAnsi="Calibri" w:cs="Calibri"/>
          <w:b/>
          <w:bCs/>
          <w:sz w:val="24"/>
          <w:szCs w:val="24"/>
        </w:rPr>
        <w:t>Develop an effective, open-source, no-cost-to-students textbook</w:t>
      </w:r>
      <w:r w:rsidRPr="6150DB48">
        <w:rPr>
          <w:rFonts w:ascii="Calibri" w:eastAsia="Calibri" w:hAnsi="Calibri" w:cs="Calibri"/>
          <w:sz w:val="24"/>
          <w:szCs w:val="24"/>
        </w:rPr>
        <w:t xml:space="preserve"> that will be employed by GGC 1000 First-Year Seminar faculty.</w:t>
      </w:r>
    </w:p>
    <w:p w14:paraId="56BE2356" w14:textId="516E05BA" w:rsidR="6150DB48" w:rsidRDefault="6150DB48" w:rsidP="6150DB48">
      <w:pPr>
        <w:pStyle w:val="ListParagraph"/>
        <w:numPr>
          <w:ilvl w:val="0"/>
          <w:numId w:val="6"/>
        </w:numPr>
        <w:rPr>
          <w:rFonts w:eastAsiaTheme="minorEastAsia"/>
          <w:sz w:val="24"/>
          <w:szCs w:val="24"/>
        </w:rPr>
      </w:pPr>
      <w:r w:rsidRPr="6150DB48">
        <w:rPr>
          <w:rFonts w:ascii="Calibri" w:eastAsia="Calibri" w:hAnsi="Calibri" w:cs="Calibri"/>
          <w:sz w:val="24"/>
          <w:szCs w:val="24"/>
        </w:rPr>
        <w:t xml:space="preserve"> </w:t>
      </w:r>
      <w:r w:rsidRPr="6150DB48">
        <w:rPr>
          <w:rFonts w:ascii="Calibri" w:eastAsia="Calibri" w:hAnsi="Calibri" w:cs="Calibri"/>
          <w:b/>
          <w:bCs/>
          <w:sz w:val="24"/>
          <w:szCs w:val="24"/>
        </w:rPr>
        <w:t>Decrease the financial burden on students taking GGC 1000</w:t>
      </w:r>
      <w:r w:rsidRPr="6150DB48">
        <w:rPr>
          <w:rFonts w:ascii="Calibri" w:eastAsia="Calibri" w:hAnsi="Calibri" w:cs="Calibri"/>
          <w:sz w:val="24"/>
          <w:szCs w:val="24"/>
        </w:rPr>
        <w:t>, thereby creating more equitable access to a successful course experience.</w:t>
      </w:r>
    </w:p>
    <w:p w14:paraId="010199B5" w14:textId="61A395E3" w:rsidR="6150DB48" w:rsidRDefault="6150DB48" w:rsidP="6150DB48">
      <w:pPr>
        <w:pStyle w:val="ListParagraph"/>
        <w:numPr>
          <w:ilvl w:val="0"/>
          <w:numId w:val="6"/>
        </w:numPr>
        <w:rPr>
          <w:rFonts w:eastAsiaTheme="minorEastAsia"/>
          <w:sz w:val="24"/>
          <w:szCs w:val="24"/>
        </w:rPr>
      </w:pPr>
      <w:r w:rsidRPr="6150DB48">
        <w:rPr>
          <w:rFonts w:ascii="Calibri" w:eastAsia="Calibri" w:hAnsi="Calibri" w:cs="Calibri"/>
          <w:sz w:val="24"/>
          <w:szCs w:val="24"/>
        </w:rPr>
        <w:t xml:space="preserve"> </w:t>
      </w:r>
      <w:r w:rsidRPr="6150DB48">
        <w:rPr>
          <w:rFonts w:ascii="Calibri" w:eastAsia="Calibri" w:hAnsi="Calibri" w:cs="Calibri"/>
          <w:b/>
          <w:bCs/>
          <w:sz w:val="24"/>
          <w:szCs w:val="24"/>
        </w:rPr>
        <w:t xml:space="preserve">Increase students’ retention and pass rates, as well as </w:t>
      </w:r>
      <w:r w:rsidRPr="6150DB48">
        <w:rPr>
          <w:rFonts w:ascii="Calibri" w:eastAsia="Calibri" w:hAnsi="Calibri" w:cs="Calibri"/>
          <w:b/>
          <w:bCs/>
          <w:color w:val="000000" w:themeColor="text1"/>
          <w:sz w:val="24"/>
          <w:szCs w:val="24"/>
        </w:rPr>
        <w:t>textbook material satisfaction</w:t>
      </w:r>
      <w:r w:rsidRPr="6150DB48">
        <w:rPr>
          <w:rFonts w:ascii="Calibri" w:eastAsia="Calibri" w:hAnsi="Calibri" w:cs="Calibri"/>
          <w:color w:val="000000" w:themeColor="text1"/>
          <w:sz w:val="24"/>
          <w:szCs w:val="24"/>
        </w:rPr>
        <w:t xml:space="preserve">, </w:t>
      </w:r>
      <w:r w:rsidRPr="6150DB48">
        <w:rPr>
          <w:rFonts w:ascii="Calibri" w:eastAsia="Calibri" w:hAnsi="Calibri" w:cs="Calibri"/>
          <w:sz w:val="24"/>
          <w:szCs w:val="24"/>
        </w:rPr>
        <w:t xml:space="preserve">by revising the course and incorporating multimodal materials that are relevant, specific, engaging, and authentic for activities and projects.  </w:t>
      </w:r>
    </w:p>
    <w:p w14:paraId="1AFBFCD7" w14:textId="55DE18C3" w:rsidR="6150DB48" w:rsidRDefault="6150DB48" w:rsidP="6150DB48">
      <w:pPr>
        <w:pStyle w:val="ListParagraph"/>
        <w:numPr>
          <w:ilvl w:val="0"/>
          <w:numId w:val="6"/>
        </w:numPr>
        <w:rPr>
          <w:rFonts w:eastAsiaTheme="minorEastAsia"/>
          <w:sz w:val="24"/>
          <w:szCs w:val="24"/>
        </w:rPr>
      </w:pPr>
      <w:r w:rsidRPr="6150DB48">
        <w:rPr>
          <w:rFonts w:ascii="Calibri" w:eastAsia="Calibri" w:hAnsi="Calibri" w:cs="Calibri"/>
          <w:sz w:val="24"/>
          <w:szCs w:val="24"/>
        </w:rPr>
        <w:t xml:space="preserve"> </w:t>
      </w:r>
      <w:r w:rsidRPr="6150DB48">
        <w:rPr>
          <w:rFonts w:ascii="Calibri" w:eastAsia="Calibri" w:hAnsi="Calibri" w:cs="Calibri"/>
          <w:b/>
          <w:bCs/>
          <w:sz w:val="24"/>
          <w:szCs w:val="24"/>
        </w:rPr>
        <w:t>Support institutional efforts to scale up the first-year seminar</w:t>
      </w:r>
      <w:r w:rsidRPr="6150DB48">
        <w:rPr>
          <w:rFonts w:ascii="Calibri" w:eastAsia="Calibri" w:hAnsi="Calibri" w:cs="Calibri"/>
          <w:sz w:val="24"/>
          <w:szCs w:val="24"/>
        </w:rPr>
        <w:t xml:space="preserve"> for all eligible first-year students (new and transfer). Revised course and textbook will accommodate for both standalone sections of First-Year Seminar (FYS), as well as the majority that will be </w:t>
      </w:r>
      <w:r w:rsidRPr="6150DB48">
        <w:rPr>
          <w:rFonts w:ascii="Calibri" w:eastAsia="Calibri" w:hAnsi="Calibri" w:cs="Calibri"/>
          <w:sz w:val="24"/>
          <w:szCs w:val="24"/>
        </w:rPr>
        <w:lastRenderedPageBreak/>
        <w:t xml:space="preserve">offered as part of first-year learning communities, thereby leveraging multiple high impact practices (HIPs) to increase retention and completion rates.  </w:t>
      </w:r>
    </w:p>
    <w:p w14:paraId="0671B9FD" w14:textId="635A5E34" w:rsidR="6150DB48" w:rsidRDefault="6150DB48" w:rsidP="664AA16F">
      <w:pPr>
        <w:rPr>
          <w:sz w:val="24"/>
          <w:szCs w:val="24"/>
        </w:rPr>
      </w:pPr>
      <w:r w:rsidRPr="664AA16F">
        <w:rPr>
          <w:sz w:val="24"/>
          <w:szCs w:val="24"/>
        </w:rPr>
        <w:t>Significant progress was achieved in meeting these goals. However, we did run into obstacles that were grounded in enrollment problems during our scaling semester, as well as continued lack of student engagement and participation, which seems influenced by ongoing COVID-related impacts—particularly around students’ intellectual and emotional bandwidth and time management challenges. These factors adversely influenced our assessment participation rates (both surveys and focus groups), summative pass rates, and ability to make appreciable correlations between the OER textbook implementation and student success. Our collection of quantitative and qualitative data around GGC 1000 First-Year Seminar and students’ responses to the OER textbook will continue, building on initial successes from this academic year and the text’s creation.</w:t>
      </w:r>
    </w:p>
    <w:p w14:paraId="3C203CFD" w14:textId="233A7B35" w:rsidR="6150DB48" w:rsidRDefault="6150DB48" w:rsidP="6150DB48">
      <w:pPr>
        <w:pStyle w:val="ListParagraph"/>
        <w:numPr>
          <w:ilvl w:val="0"/>
          <w:numId w:val="5"/>
        </w:numPr>
        <w:rPr>
          <w:rFonts w:eastAsiaTheme="minorEastAsia"/>
          <w:b/>
          <w:bCs/>
          <w:sz w:val="24"/>
          <w:szCs w:val="24"/>
        </w:rPr>
      </w:pPr>
      <w:r w:rsidRPr="6150DB48">
        <w:rPr>
          <w:rFonts w:ascii="Calibri" w:eastAsia="Calibri" w:hAnsi="Calibri" w:cs="Calibri"/>
          <w:b/>
          <w:bCs/>
          <w:sz w:val="24"/>
          <w:szCs w:val="24"/>
        </w:rPr>
        <w:t>Develop an effective, open-source, no-cost-to-students textbook</w:t>
      </w:r>
      <w:r w:rsidRPr="6150DB48">
        <w:rPr>
          <w:rFonts w:ascii="Calibri" w:eastAsia="Calibri" w:hAnsi="Calibri" w:cs="Calibri"/>
          <w:sz w:val="24"/>
          <w:szCs w:val="24"/>
        </w:rPr>
        <w:t xml:space="preserve"> that will be employed by GGC 1000 First-Year Seminar faculty. </w:t>
      </w:r>
    </w:p>
    <w:p w14:paraId="0076A337" w14:textId="25346B8E" w:rsidR="6150DB48" w:rsidRDefault="6150DB48" w:rsidP="6150DB48">
      <w:pPr>
        <w:pStyle w:val="ListParagraph"/>
        <w:numPr>
          <w:ilvl w:val="1"/>
          <w:numId w:val="5"/>
        </w:numPr>
        <w:rPr>
          <w:b/>
          <w:bCs/>
          <w:sz w:val="24"/>
          <w:szCs w:val="24"/>
        </w:rPr>
      </w:pPr>
      <w:r w:rsidRPr="664AA16F">
        <w:rPr>
          <w:rFonts w:ascii="Calibri" w:eastAsia="Calibri" w:hAnsi="Calibri" w:cs="Calibri"/>
          <w:sz w:val="24"/>
          <w:szCs w:val="24"/>
        </w:rPr>
        <w:t xml:space="preserve">The grant team successfully composed and edited </w:t>
      </w:r>
      <w:r w:rsidRPr="664AA16F">
        <w:rPr>
          <w:rFonts w:ascii="Calibri" w:eastAsia="Calibri" w:hAnsi="Calibri" w:cs="Calibri"/>
          <w:i/>
          <w:iCs/>
          <w:sz w:val="24"/>
          <w:szCs w:val="24"/>
        </w:rPr>
        <w:t>Steps to Success: A Guide to Excelling in College and Beyond</w:t>
      </w:r>
      <w:r w:rsidRPr="664AA16F">
        <w:rPr>
          <w:rFonts w:ascii="Calibri" w:eastAsia="Calibri" w:hAnsi="Calibri" w:cs="Calibri"/>
          <w:sz w:val="24"/>
          <w:szCs w:val="24"/>
        </w:rPr>
        <w:t xml:space="preserve"> by August 2021. The OER textbook was embedded in the GGC 1000 D2L learning management system template course and rolled to seven course sections in the pilot group Fall 2021. It was revised modestly over winter break 2021 and then rolled in D2L to all four sections of GGC 1000 offered in Spring 2022, our scaling semester. Faculty reported that this made accessing the textbook extremely easy for students, since it was incorporated into the template course and they would be accessing D2L on a regular basis. It also ensured all students had access to the materials from day 1 of the semester. While some students needed coaching on how to access D2L, the textbook itself was available in a timely manner as designed.</w:t>
      </w:r>
    </w:p>
    <w:p w14:paraId="27E7E1F8" w14:textId="1ADE5867" w:rsidR="6150DB48" w:rsidRDefault="6150DB48" w:rsidP="6150DB48">
      <w:pPr>
        <w:pStyle w:val="ListParagraph"/>
        <w:numPr>
          <w:ilvl w:val="0"/>
          <w:numId w:val="4"/>
        </w:numPr>
        <w:rPr>
          <w:rFonts w:eastAsiaTheme="minorEastAsia"/>
          <w:b/>
          <w:bCs/>
          <w:sz w:val="24"/>
          <w:szCs w:val="24"/>
        </w:rPr>
      </w:pPr>
      <w:r w:rsidRPr="6150DB48">
        <w:rPr>
          <w:rFonts w:ascii="Calibri" w:eastAsia="Calibri" w:hAnsi="Calibri" w:cs="Calibri"/>
          <w:b/>
          <w:bCs/>
          <w:sz w:val="24"/>
          <w:szCs w:val="24"/>
        </w:rPr>
        <w:t>Decrease the financial burden on students taking GGC 1000</w:t>
      </w:r>
      <w:r w:rsidRPr="6150DB48">
        <w:rPr>
          <w:rFonts w:ascii="Calibri" w:eastAsia="Calibri" w:hAnsi="Calibri" w:cs="Calibri"/>
          <w:sz w:val="24"/>
          <w:szCs w:val="24"/>
        </w:rPr>
        <w:t>, thereby creating more equitable access to a successful course experience.</w:t>
      </w:r>
    </w:p>
    <w:p w14:paraId="0975C08D" w14:textId="49CE7FC7" w:rsidR="6150DB48" w:rsidRDefault="0A3BC8CA" w:rsidP="6150DB48">
      <w:pPr>
        <w:pStyle w:val="ListParagraph"/>
        <w:numPr>
          <w:ilvl w:val="1"/>
          <w:numId w:val="4"/>
        </w:numPr>
        <w:rPr>
          <w:b/>
          <w:bCs/>
          <w:sz w:val="24"/>
          <w:szCs w:val="24"/>
        </w:rPr>
      </w:pPr>
      <w:r w:rsidRPr="0A3BC8CA">
        <w:rPr>
          <w:rFonts w:ascii="Calibri" w:eastAsia="Calibri" w:hAnsi="Calibri" w:cs="Calibri"/>
          <w:sz w:val="24"/>
          <w:szCs w:val="24"/>
        </w:rPr>
        <w:t xml:space="preserve">133 students participated in GGC 1000 sections using the OER textbook in AY21-22. This resulted in an estimated cost savings of $5320.00 (133 students @$40/book). Going forward, cost savings totals will increase as more students use the OER textbook on a regular basis, as the standard default assigned text for the course. </w:t>
      </w:r>
    </w:p>
    <w:p w14:paraId="59DC705C" w14:textId="6ADD7693" w:rsidR="6150DB48" w:rsidRDefault="0A3BC8CA" w:rsidP="6150DB48">
      <w:pPr>
        <w:pStyle w:val="ListParagraph"/>
        <w:numPr>
          <w:ilvl w:val="0"/>
          <w:numId w:val="4"/>
        </w:numPr>
        <w:rPr>
          <w:rFonts w:eastAsiaTheme="minorEastAsia"/>
          <w:b/>
          <w:bCs/>
          <w:sz w:val="24"/>
          <w:szCs w:val="24"/>
        </w:rPr>
      </w:pPr>
      <w:r w:rsidRPr="0A3BC8CA">
        <w:rPr>
          <w:rFonts w:ascii="Calibri" w:eastAsia="Calibri" w:hAnsi="Calibri" w:cs="Calibri"/>
          <w:b/>
          <w:bCs/>
          <w:sz w:val="24"/>
          <w:szCs w:val="24"/>
        </w:rPr>
        <w:t xml:space="preserve">Increase students’ retention and pass rates, as well as </w:t>
      </w:r>
      <w:r w:rsidRPr="0A3BC8CA">
        <w:rPr>
          <w:rFonts w:ascii="Calibri" w:eastAsia="Calibri" w:hAnsi="Calibri" w:cs="Calibri"/>
          <w:b/>
          <w:bCs/>
          <w:color w:val="000000" w:themeColor="text1"/>
          <w:sz w:val="24"/>
          <w:szCs w:val="24"/>
        </w:rPr>
        <w:t>textbook material satisfaction</w:t>
      </w:r>
      <w:r w:rsidRPr="0A3BC8CA">
        <w:rPr>
          <w:rFonts w:ascii="Calibri" w:eastAsia="Calibri" w:hAnsi="Calibri" w:cs="Calibri"/>
          <w:color w:val="000000" w:themeColor="text1"/>
          <w:sz w:val="24"/>
          <w:szCs w:val="24"/>
        </w:rPr>
        <w:t xml:space="preserve">, </w:t>
      </w:r>
      <w:r w:rsidRPr="0A3BC8CA">
        <w:rPr>
          <w:rFonts w:ascii="Calibri" w:eastAsia="Calibri" w:hAnsi="Calibri" w:cs="Calibri"/>
          <w:sz w:val="24"/>
          <w:szCs w:val="24"/>
        </w:rPr>
        <w:t>by revising the course and incorporating multimodal materials that are relevant, specific, engaging, and authentic for activities and projects.</w:t>
      </w:r>
    </w:p>
    <w:p w14:paraId="52AEFD00" w14:textId="0DDF3C6C" w:rsidR="0A3BC8CA" w:rsidRDefault="0A3BC8CA" w:rsidP="0A3BC8CA">
      <w:pPr>
        <w:pStyle w:val="ListParagraph"/>
        <w:numPr>
          <w:ilvl w:val="1"/>
          <w:numId w:val="4"/>
        </w:numPr>
        <w:rPr>
          <w:rFonts w:eastAsiaTheme="minorEastAsia"/>
          <w:b/>
          <w:bCs/>
          <w:sz w:val="24"/>
          <w:szCs w:val="24"/>
        </w:rPr>
      </w:pPr>
      <w:r w:rsidRPr="0A3BC8CA">
        <w:rPr>
          <w:rFonts w:ascii="Calibri" w:eastAsia="Calibri" w:hAnsi="Calibri" w:cs="Calibri"/>
          <w:sz w:val="24"/>
          <w:szCs w:val="24"/>
        </w:rPr>
        <w:t xml:space="preserve">At this time, there are no noticeable increases in students’ pass rates for GGC 1000, as a result of the OER textbook implementation. Due to low enrollments and continued COVID-related impacts, pass rates remain lower than pre-COVID </w:t>
      </w:r>
      <w:r w:rsidRPr="0A3BC8CA">
        <w:rPr>
          <w:rFonts w:ascii="Calibri" w:eastAsia="Calibri" w:hAnsi="Calibri" w:cs="Calibri"/>
          <w:sz w:val="24"/>
          <w:szCs w:val="24"/>
        </w:rPr>
        <w:lastRenderedPageBreak/>
        <w:t>times and are consistent in fall-to-fall and spring-to-spring semesters. Please see Measures section below for details.</w:t>
      </w:r>
    </w:p>
    <w:p w14:paraId="7C63509C" w14:textId="1FD8E8EE" w:rsidR="6150DB48" w:rsidRDefault="0A3BC8CA" w:rsidP="6150DB48">
      <w:pPr>
        <w:pStyle w:val="ListParagraph"/>
        <w:numPr>
          <w:ilvl w:val="1"/>
          <w:numId w:val="4"/>
        </w:numPr>
        <w:rPr>
          <w:b/>
          <w:bCs/>
          <w:sz w:val="24"/>
          <w:szCs w:val="24"/>
        </w:rPr>
      </w:pPr>
      <w:r w:rsidRPr="0A3BC8CA">
        <w:rPr>
          <w:rFonts w:ascii="Calibri" w:eastAsia="Calibri" w:hAnsi="Calibri" w:cs="Calibri"/>
          <w:sz w:val="24"/>
          <w:szCs w:val="24"/>
        </w:rPr>
        <w:t>While survey participation was modest, in Fall 2021, 47% of OER users agreed or strongly agreed that the textbook aided in understanding of content and 65% strongly agreed or agreed that it enabled their ability to succeed in the course. In Spring 2022, 83% of survey participants strongly agreed with both of these statements. We can conclude that students (at least those from the survey participants) generally agree that the textbook is useful as a learning tool and enhances their chances for success.</w:t>
      </w:r>
    </w:p>
    <w:p w14:paraId="31FF5F39" w14:textId="3B5F909F" w:rsidR="6150DB48" w:rsidRDefault="6150DB48" w:rsidP="6150DB48">
      <w:pPr>
        <w:pStyle w:val="ListParagraph"/>
        <w:numPr>
          <w:ilvl w:val="0"/>
          <w:numId w:val="4"/>
        </w:numPr>
        <w:rPr>
          <w:rFonts w:eastAsiaTheme="minorEastAsia"/>
          <w:b/>
          <w:bCs/>
          <w:sz w:val="24"/>
          <w:szCs w:val="24"/>
        </w:rPr>
      </w:pPr>
      <w:r w:rsidRPr="6150DB48">
        <w:rPr>
          <w:rFonts w:ascii="Calibri" w:eastAsia="Calibri" w:hAnsi="Calibri" w:cs="Calibri"/>
          <w:b/>
          <w:bCs/>
          <w:sz w:val="24"/>
          <w:szCs w:val="24"/>
        </w:rPr>
        <w:t>Support institutional efforts to scale up the first-year seminar</w:t>
      </w:r>
      <w:r w:rsidRPr="6150DB48">
        <w:rPr>
          <w:rFonts w:ascii="Calibri" w:eastAsia="Calibri" w:hAnsi="Calibri" w:cs="Calibri"/>
          <w:sz w:val="24"/>
          <w:szCs w:val="24"/>
        </w:rPr>
        <w:t xml:space="preserve"> for all eligible first-year students (new and transfer).</w:t>
      </w:r>
    </w:p>
    <w:p w14:paraId="341E6138" w14:textId="18BCC687" w:rsidR="6150DB48" w:rsidRDefault="6150DB48" w:rsidP="6150DB48">
      <w:pPr>
        <w:rPr>
          <w:sz w:val="24"/>
          <w:szCs w:val="24"/>
        </w:rPr>
      </w:pPr>
      <w:r w:rsidRPr="6150DB48">
        <w:rPr>
          <w:sz w:val="24"/>
          <w:szCs w:val="24"/>
        </w:rPr>
        <w:t xml:space="preserve">In our proposal, we outlined a 5-section pilot for FA21 semester and full-scale implementation of the OER textbook in SP22. We met or exceeded these targets. </w:t>
      </w:r>
    </w:p>
    <w:p w14:paraId="48165CE4" w14:textId="49271546" w:rsidR="6150DB48" w:rsidRDefault="6150DB48" w:rsidP="6150DB48">
      <w:pPr>
        <w:rPr>
          <w:sz w:val="24"/>
          <w:szCs w:val="24"/>
        </w:rPr>
      </w:pPr>
      <w:r w:rsidRPr="6150DB48">
        <w:rPr>
          <w:sz w:val="24"/>
          <w:szCs w:val="24"/>
        </w:rPr>
        <w:t xml:space="preserve">In FA21, we requested faculty volunteers for the pilot and had 7 instructors request to use the OER in their sections. Therefore 7/18 fall sections of GGC 1000 used the OER textbook, exceeding our target in the proposal. For Spring 2022, we had anticipated offering at least 12 sections of GGC 1000, but due to low enrollment numbers at the institution in general and first-year courses in particular, we could only offer 4 sections; all of these used the OER (meeting the scaling goal, only with lesser cost impact in terms of numbers of students served). </w:t>
      </w:r>
    </w:p>
    <w:p w14:paraId="205CF44B" w14:textId="4546B6A9" w:rsidR="6150DB48" w:rsidRDefault="6150DB48" w:rsidP="6150DB48">
      <w:pPr>
        <w:rPr>
          <w:sz w:val="24"/>
          <w:szCs w:val="24"/>
        </w:rPr>
      </w:pPr>
      <w:r w:rsidRPr="6150DB48">
        <w:rPr>
          <w:sz w:val="24"/>
          <w:szCs w:val="24"/>
        </w:rPr>
        <w:t xml:space="preserve">Over the course of the academic year 2021-2022, 133 GGC 1000 students used the OER textbook, </w:t>
      </w:r>
      <w:r w:rsidRPr="6150DB48">
        <w:rPr>
          <w:i/>
          <w:iCs/>
          <w:sz w:val="24"/>
          <w:szCs w:val="24"/>
        </w:rPr>
        <w:t>Steps to Success</w:t>
      </w:r>
      <w:r w:rsidRPr="6150DB48">
        <w:rPr>
          <w:sz w:val="24"/>
          <w:szCs w:val="24"/>
        </w:rPr>
        <w:t>, with an estimated cost savings of $5320.00. While overall cost savings for the students in the project was lower than expected due to decreased enrollment numbers, the impact was still significant. Our plan and institutional commitment is to continue scaled use of the OER textbook in all sections of GGC 1000 for AY 22-23, which will result in exponential cost savings as enrollments stabilize and section offerings increase further, in alignment with first-year seminar as a strategic retention and completion intervention.</w:t>
      </w:r>
    </w:p>
    <w:p w14:paraId="684F7415" w14:textId="1E2EF0A4" w:rsidR="6150DB48" w:rsidRDefault="0A3BC8CA" w:rsidP="0A3BC8CA">
      <w:pPr>
        <w:rPr>
          <w:b/>
          <w:bCs/>
          <w:i/>
          <w:iCs/>
          <w:sz w:val="24"/>
          <w:szCs w:val="24"/>
        </w:rPr>
      </w:pPr>
      <w:r w:rsidRPr="0A3BC8CA">
        <w:rPr>
          <w:b/>
          <w:bCs/>
          <w:i/>
          <w:iCs/>
          <w:sz w:val="24"/>
          <w:szCs w:val="24"/>
        </w:rPr>
        <w:t>Transformative Impacts on Instruction</w:t>
      </w:r>
    </w:p>
    <w:p w14:paraId="5ADCC6F0" w14:textId="0415F7E2" w:rsidR="6150DB48" w:rsidRDefault="0A3BC8CA" w:rsidP="37B61D14">
      <w:pPr>
        <w:rPr>
          <w:b/>
          <w:bCs/>
          <w:i/>
          <w:iCs/>
          <w:sz w:val="24"/>
          <w:szCs w:val="24"/>
        </w:rPr>
      </w:pPr>
      <w:r w:rsidRPr="37B61D14">
        <w:rPr>
          <w:sz w:val="24"/>
          <w:szCs w:val="24"/>
        </w:rPr>
        <w:t xml:space="preserve">The creation of the OER textbook for GGC 1000, </w:t>
      </w:r>
      <w:r w:rsidRPr="37B61D14">
        <w:rPr>
          <w:i/>
          <w:iCs/>
          <w:sz w:val="24"/>
          <w:szCs w:val="24"/>
        </w:rPr>
        <w:t>Steps to Success</w:t>
      </w:r>
      <w:r w:rsidRPr="37B61D14">
        <w:rPr>
          <w:sz w:val="24"/>
          <w:szCs w:val="24"/>
        </w:rPr>
        <w:t>, magnified our day one-available course resources, as it was embedded in the D2L template course developed in Summer 2020. What this meant was that all GGC 1000 instructors, whether new or continuing, had a “course in a box,” complete with online textbook, TiLTed (Transparency in Learning and Teaching) signature assignment sheets, linked videos, class activities, a standard syllabus to adapt, reading quizzes keyed to the OER textbook, and more. Students’ experience in the course—at least in terms of structure—was therefore more consistent, while instructors still had areas and structures for customizing based on their students’ needs, focus area with learning communities, etc. In many ways, the OER textbook was the last major component to round-out these free, online course resources for both instructors and students. Anecdotal feedback from instructors has been very favorable.</w:t>
      </w:r>
    </w:p>
    <w:p w14:paraId="4CE15E9C" w14:textId="3E963420" w:rsidR="6150DB48" w:rsidRDefault="6150DB48" w:rsidP="6150DB48">
      <w:pPr>
        <w:rPr>
          <w:b/>
          <w:bCs/>
          <w:i/>
          <w:iCs/>
          <w:sz w:val="24"/>
          <w:szCs w:val="24"/>
          <w:highlight w:val="green"/>
        </w:rPr>
      </w:pPr>
    </w:p>
    <w:p w14:paraId="6A1B4D96" w14:textId="362A7656" w:rsidR="6150DB48" w:rsidRDefault="0A3BC8CA" w:rsidP="0A3BC8CA">
      <w:pPr>
        <w:rPr>
          <w:b/>
          <w:bCs/>
          <w:i/>
          <w:iCs/>
          <w:sz w:val="24"/>
          <w:szCs w:val="24"/>
        </w:rPr>
      </w:pPr>
      <w:r w:rsidRPr="0A3BC8CA">
        <w:rPr>
          <w:b/>
          <w:bCs/>
          <w:i/>
          <w:iCs/>
          <w:sz w:val="24"/>
          <w:szCs w:val="24"/>
        </w:rPr>
        <w:t>Transformative Impacts on Students and Their Performance</w:t>
      </w:r>
    </w:p>
    <w:p w14:paraId="070E60B9" w14:textId="778DD559" w:rsidR="6150DB48" w:rsidRDefault="0A3BC8CA" w:rsidP="664AA16F">
      <w:pPr>
        <w:rPr>
          <w:b/>
          <w:bCs/>
          <w:i/>
          <w:iCs/>
          <w:sz w:val="24"/>
          <w:szCs w:val="24"/>
        </w:rPr>
      </w:pPr>
      <w:r w:rsidRPr="664AA16F">
        <w:rPr>
          <w:sz w:val="24"/>
          <w:szCs w:val="24"/>
        </w:rPr>
        <w:t>We are still in the process of determining all of the impacts on the OER textbook on students. As noted in detail below, enrollment numbers were lower in our scaling semester and student engagement in assessment procedures was also low, which impacted our ability to get representative feedback. That said, initial feedback—both quantitative and qualitative—suggests at least some benefits in terms of cost, access, and support of content comprehension. While pass rates so far do not demonstrate impact correlation from the OER textbook, we look forward to tracking this relationship going forward.</w:t>
      </w:r>
    </w:p>
    <w:p w14:paraId="726AF509" w14:textId="10A42629" w:rsidR="0A3BC8CA" w:rsidRDefault="0A3BC8CA" w:rsidP="0A3BC8CA">
      <w:pPr>
        <w:rPr>
          <w:sz w:val="24"/>
          <w:szCs w:val="24"/>
        </w:rPr>
      </w:pPr>
    </w:p>
    <w:p w14:paraId="0D1B3650" w14:textId="61EF12C3" w:rsidR="00101A24" w:rsidRDefault="6150DB48" w:rsidP="6150DB48">
      <w:pPr>
        <w:pStyle w:val="ListParagraph"/>
        <w:numPr>
          <w:ilvl w:val="1"/>
          <w:numId w:val="24"/>
        </w:numPr>
        <w:ind w:left="360"/>
        <w:rPr>
          <w:rFonts w:eastAsiaTheme="minorEastAsia"/>
          <w:b/>
          <w:bCs/>
          <w:i/>
          <w:iCs/>
          <w:sz w:val="24"/>
          <w:szCs w:val="24"/>
        </w:rPr>
      </w:pPr>
      <w:r w:rsidRPr="6150DB48">
        <w:rPr>
          <w:b/>
          <w:bCs/>
          <w:i/>
          <w:iCs/>
          <w:sz w:val="24"/>
          <w:szCs w:val="24"/>
        </w:rPr>
        <w:t xml:space="preserve">Describe lessons learned, including any things you would do differently next time.  </w:t>
      </w:r>
    </w:p>
    <w:p w14:paraId="108B71EA" w14:textId="3ECD9508" w:rsidR="6150DB48" w:rsidRDefault="6150DB48" w:rsidP="6150DB48">
      <w:pPr>
        <w:rPr>
          <w:i/>
          <w:iCs/>
          <w:sz w:val="24"/>
          <w:szCs w:val="24"/>
        </w:rPr>
      </w:pPr>
      <w:r w:rsidRPr="6150DB48">
        <w:rPr>
          <w:sz w:val="24"/>
          <w:szCs w:val="24"/>
        </w:rPr>
        <w:t xml:space="preserve">The main lesson our team learned through this process was that we need to determine different ways of arranging assessment opportunities to increase student participation. Lack of participation impacted our ability to disaggregate results and put significant weight in their correlation to student success. Addressing this issue might include setting the expectation (not simply encouraging) that all faculty build in time in the last two weeks of class to do the following 1) administer the end of semester survey, which includes OER-related questions, and 2) allow for 15 minutes for co-PI's to either explain the purpose of and details for participating in a focus group or to actually run a focus group session (allowing students who do not wish to participate to leave, keeping it voluntary). Adding further in-person and face-to-face options also could increase participation. </w:t>
      </w:r>
    </w:p>
    <w:p w14:paraId="02479264" w14:textId="10B0326F" w:rsidR="6150DB48" w:rsidRDefault="6150DB48" w:rsidP="6150DB48">
      <w:pPr>
        <w:rPr>
          <w:i/>
          <w:iCs/>
          <w:sz w:val="24"/>
          <w:szCs w:val="24"/>
        </w:rPr>
      </w:pPr>
      <w:r w:rsidRPr="6150DB48">
        <w:rPr>
          <w:sz w:val="24"/>
          <w:szCs w:val="24"/>
        </w:rPr>
        <w:t xml:space="preserve">While student engagement in and out of class was markedly less than in pre-COVID semesters (not just in GGC 1000 but in many first-year courses), we need to develop alternative strategies for obtaining high quality feedback from our students, the textbook users and beneficiaries of the OER textbook offering. We intend to follow the project’s basic assessment protocols (student end of semester survey, faculty survey, student focus groups) for at least two more semesters to gather crucial input and continue scaling efforts. </w:t>
      </w:r>
    </w:p>
    <w:p w14:paraId="7868D0B2" w14:textId="289594B9" w:rsidR="00647915" w:rsidRPr="003F4D85" w:rsidRDefault="6150DB48" w:rsidP="6150DB48">
      <w:pPr>
        <w:pStyle w:val="ListParagraph"/>
        <w:numPr>
          <w:ilvl w:val="1"/>
          <w:numId w:val="24"/>
        </w:numPr>
        <w:ind w:left="360"/>
        <w:rPr>
          <w:i/>
          <w:iCs/>
          <w:sz w:val="24"/>
          <w:szCs w:val="24"/>
        </w:rPr>
      </w:pPr>
      <w:r w:rsidRPr="6150DB48">
        <w:rPr>
          <w:b/>
          <w:bCs/>
          <w:i/>
          <w:iCs/>
          <w:sz w:val="24"/>
          <w:szCs w:val="24"/>
        </w:rPr>
        <w:t xml:space="preserve">Describe any materials you created or revised/remixed that will be shared with the public. </w:t>
      </w:r>
      <w:r w:rsidRPr="6150DB48">
        <w:rPr>
          <w:i/>
          <w:iCs/>
          <w:sz w:val="24"/>
          <w:szCs w:val="24"/>
        </w:rPr>
        <w:t>Include the</w:t>
      </w:r>
      <w:hyperlink r:id="rId13">
        <w:r w:rsidRPr="6150DB48">
          <w:rPr>
            <w:rStyle w:val="Hyperlink"/>
            <w:i/>
            <w:iCs/>
            <w:sz w:val="24"/>
            <w:szCs w:val="24"/>
          </w:rPr>
          <w:t xml:space="preserve"> open license your materials will be shared under</w:t>
        </w:r>
      </w:hyperlink>
      <w:r w:rsidRPr="6150DB48">
        <w:rPr>
          <w:i/>
          <w:iCs/>
          <w:sz w:val="24"/>
          <w:szCs w:val="24"/>
        </w:rPr>
        <w:t xml:space="preserve">.   </w:t>
      </w:r>
    </w:p>
    <w:p w14:paraId="3E991B90" w14:textId="53A8265B" w:rsidR="6150DB48" w:rsidRDefault="6150DB48" w:rsidP="6150DB48">
      <w:pPr>
        <w:rPr>
          <w:i/>
          <w:iCs/>
          <w:sz w:val="24"/>
          <w:szCs w:val="24"/>
        </w:rPr>
      </w:pPr>
      <w:r w:rsidRPr="6150DB48">
        <w:rPr>
          <w:sz w:val="24"/>
          <w:szCs w:val="24"/>
        </w:rPr>
        <w:t xml:space="preserve">The GGC 1000 OER textbook that was created under this ALG grant will be the only publicly shared item, and it will be published in the GALILEO Open Learning Materials collection. </w:t>
      </w:r>
      <w:r w:rsidRPr="6150DB48">
        <w:rPr>
          <w:i/>
          <w:iCs/>
          <w:sz w:val="24"/>
          <w:szCs w:val="24"/>
        </w:rPr>
        <w:t xml:space="preserve">Steps to Success: A Guide to Excelling in College and Beyond </w:t>
      </w:r>
      <w:r w:rsidRPr="6150DB48">
        <w:rPr>
          <w:sz w:val="24"/>
          <w:szCs w:val="24"/>
        </w:rPr>
        <w:t xml:space="preserve">will be licensed under the Creative Commons Attribution Non-Commercial-Share Alike 4.0 International License. </w:t>
      </w:r>
    </w:p>
    <w:p w14:paraId="6E7CF058" w14:textId="4F3D3DDD" w:rsidR="00101A24" w:rsidRPr="004F2656" w:rsidRDefault="6150DB48" w:rsidP="003F4D85">
      <w:pPr>
        <w:pStyle w:val="Heading1"/>
        <w:numPr>
          <w:ilvl w:val="0"/>
          <w:numId w:val="24"/>
        </w:numPr>
        <w:ind w:left="360"/>
      </w:pPr>
      <w:r>
        <w:lastRenderedPageBreak/>
        <w:t>Quotes</w:t>
      </w:r>
    </w:p>
    <w:p w14:paraId="6B019FC3" w14:textId="679C09B2" w:rsidR="004F2656" w:rsidRPr="003F4D85" w:rsidRDefault="0A3BC8CA" w:rsidP="0A3BC8CA">
      <w:pPr>
        <w:ind w:left="360"/>
        <w:rPr>
          <w:i/>
          <w:iCs/>
          <w:sz w:val="24"/>
          <w:szCs w:val="24"/>
        </w:rPr>
      </w:pPr>
      <w:r w:rsidRPr="0A3BC8CA">
        <w:rPr>
          <w:i/>
          <w:iCs/>
          <w:sz w:val="24"/>
          <w:szCs w:val="24"/>
        </w:rPr>
        <w:t>Provide three quotes from students evaluating their experience with the no-cost learning materials.</w:t>
      </w:r>
    </w:p>
    <w:p w14:paraId="4ABCD506" w14:textId="14616DF8" w:rsidR="0A3BC8CA" w:rsidRDefault="0A3BC8CA" w:rsidP="0A3BC8CA">
      <w:pPr>
        <w:pStyle w:val="ListParagraph"/>
        <w:numPr>
          <w:ilvl w:val="0"/>
          <w:numId w:val="2"/>
        </w:numPr>
        <w:rPr>
          <w:rFonts w:eastAsiaTheme="minorEastAsia"/>
          <w:sz w:val="24"/>
          <w:szCs w:val="24"/>
        </w:rPr>
      </w:pPr>
      <w:r w:rsidRPr="0A3BC8CA">
        <w:rPr>
          <w:rFonts w:eastAsiaTheme="minorEastAsia"/>
        </w:rPr>
        <w:t>“Before this course, I was used to not doing homework, much less taking actual time out of my day to sit and study for an hour for an upcoming test. However, through the readings and schedule plans that we were taught here, I was able to slowly find a routine that worked for me and allowed me to finish school work on time and obtain good grades on tests.” --Jose-Luis Boyzo Patino</w:t>
      </w:r>
    </w:p>
    <w:p w14:paraId="5A2A4D68" w14:textId="33EAA918" w:rsidR="0A3BC8CA" w:rsidRDefault="0A3BC8CA" w:rsidP="0A3BC8CA">
      <w:pPr>
        <w:rPr>
          <w:rFonts w:eastAsiaTheme="minorEastAsia"/>
        </w:rPr>
      </w:pPr>
    </w:p>
    <w:p w14:paraId="2CF13DA4" w14:textId="095B951C" w:rsidR="0A3BC8CA" w:rsidRDefault="0A3BC8CA" w:rsidP="0A3BC8CA">
      <w:pPr>
        <w:pStyle w:val="ListParagraph"/>
        <w:numPr>
          <w:ilvl w:val="0"/>
          <w:numId w:val="2"/>
        </w:numPr>
        <w:rPr>
          <w:rFonts w:eastAsiaTheme="minorEastAsia"/>
          <w:sz w:val="24"/>
          <w:szCs w:val="24"/>
        </w:rPr>
      </w:pPr>
      <w:r w:rsidRPr="0A3BC8CA">
        <w:rPr>
          <w:rFonts w:eastAsiaTheme="minorEastAsia"/>
          <w:sz w:val="24"/>
          <w:szCs w:val="24"/>
        </w:rPr>
        <w:t>"Some of the things that went well was really this class and having a way to learn new content. This helped a lot with the time management and budget plan, it was way more that we learned but those are my top two. These different skills I learn here really help I just need to start applying them." --Kalesia Daniel</w:t>
      </w:r>
    </w:p>
    <w:p w14:paraId="10915660" w14:textId="4BEDB2A4" w:rsidR="0A3BC8CA" w:rsidRDefault="0A3BC8CA" w:rsidP="0A3BC8CA">
      <w:pPr>
        <w:rPr>
          <w:rFonts w:eastAsiaTheme="minorEastAsia"/>
          <w:sz w:val="24"/>
          <w:szCs w:val="24"/>
        </w:rPr>
      </w:pPr>
    </w:p>
    <w:p w14:paraId="1FE342EF" w14:textId="53774FCA" w:rsidR="6150DB48" w:rsidRDefault="0A3BC8CA" w:rsidP="0A3BC8CA">
      <w:pPr>
        <w:pStyle w:val="ListParagraph"/>
        <w:numPr>
          <w:ilvl w:val="0"/>
          <w:numId w:val="2"/>
        </w:numPr>
        <w:rPr>
          <w:rFonts w:eastAsiaTheme="minorEastAsia"/>
          <w:b/>
          <w:bCs/>
          <w:sz w:val="24"/>
          <w:szCs w:val="24"/>
        </w:rPr>
      </w:pPr>
      <w:r w:rsidRPr="0A3BC8CA">
        <w:rPr>
          <w:rFonts w:eastAsiaTheme="minorEastAsia"/>
          <w:b/>
          <w:bCs/>
          <w:sz w:val="24"/>
          <w:szCs w:val="24"/>
        </w:rPr>
        <w:t>In response to the question, “Do you think having a free textbook affected your learning and/or success in the GGC 1000 course? Please explain why or why not.”:</w:t>
      </w:r>
    </w:p>
    <w:p w14:paraId="1501EC61" w14:textId="6327FF21" w:rsidR="6150DB48" w:rsidRDefault="0A3BC8CA" w:rsidP="0A3BC8CA">
      <w:pPr>
        <w:pStyle w:val="ListParagraph"/>
        <w:numPr>
          <w:ilvl w:val="1"/>
          <w:numId w:val="2"/>
        </w:numPr>
        <w:rPr>
          <w:rFonts w:eastAsiaTheme="minorEastAsia"/>
          <w:b/>
          <w:bCs/>
        </w:rPr>
      </w:pPr>
      <w:r w:rsidRPr="0A3BC8CA">
        <w:rPr>
          <w:rFonts w:eastAsiaTheme="minorEastAsia"/>
          <w:b/>
          <w:bCs/>
          <w:sz w:val="24"/>
          <w:szCs w:val="24"/>
        </w:rPr>
        <w:t>“</w:t>
      </w:r>
      <w:r w:rsidRPr="0A3BC8CA">
        <w:rPr>
          <w:rFonts w:eastAsiaTheme="minorEastAsia"/>
          <w:sz w:val="24"/>
          <w:szCs w:val="24"/>
        </w:rPr>
        <w:t>Yes, because there wasn't any excuse for me not to use and look at the information that was given.” --Kyle Smith</w:t>
      </w:r>
    </w:p>
    <w:p w14:paraId="586C8151" w14:textId="1721CFA2" w:rsidR="6150DB48" w:rsidRDefault="6150DB48" w:rsidP="6150DB48">
      <w:pPr>
        <w:ind w:left="360"/>
        <w:rPr>
          <w:i/>
          <w:iCs/>
          <w:sz w:val="24"/>
          <w:szCs w:val="24"/>
        </w:rPr>
      </w:pPr>
    </w:p>
    <w:p w14:paraId="2569A2E6" w14:textId="613FDB49" w:rsidR="00B90CC8" w:rsidRPr="00B90CC8" w:rsidRDefault="6150DB48" w:rsidP="003F4D85">
      <w:pPr>
        <w:pStyle w:val="Heading1"/>
        <w:numPr>
          <w:ilvl w:val="0"/>
          <w:numId w:val="24"/>
        </w:numPr>
        <w:ind w:left="360"/>
      </w:pPr>
      <w:r>
        <w:t>Quantitative and Qualitative Measures</w:t>
      </w:r>
    </w:p>
    <w:p w14:paraId="62F72596" w14:textId="1C61F355" w:rsidR="00B90CC8" w:rsidRDefault="6150DB48" w:rsidP="003F4D85">
      <w:pPr>
        <w:pStyle w:val="Heading2"/>
        <w:numPr>
          <w:ilvl w:val="1"/>
          <w:numId w:val="24"/>
        </w:numPr>
        <w:ind w:left="720"/>
      </w:pPr>
      <w:r>
        <w:t>Uniform Measurements Questions</w:t>
      </w:r>
    </w:p>
    <w:p w14:paraId="2269F5C6" w14:textId="65B6DDCA" w:rsidR="0033401E" w:rsidRPr="0033401E" w:rsidRDefault="0033401E" w:rsidP="003F4D85">
      <w:pPr>
        <w:ind w:left="720"/>
        <w:rPr>
          <w:i/>
        </w:rPr>
      </w:pPr>
      <w:r>
        <w:rPr>
          <w:i/>
        </w:rPr>
        <w:t xml:space="preserve">The following are uniform questions asked to all grant teams. Please answer these to the best of your knowledge. </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4AA77D2E" w:rsidR="00C45872" w:rsidRDefault="0A3BC8CA" w:rsidP="6150DB48">
      <w:pPr>
        <w:ind w:left="1080"/>
        <w:rPr>
          <w:b/>
          <w:bCs/>
          <w:sz w:val="24"/>
          <w:szCs w:val="24"/>
        </w:rPr>
      </w:pPr>
      <w:r w:rsidRPr="0A3BC8CA">
        <w:rPr>
          <w:b/>
          <w:bCs/>
          <w:sz w:val="24"/>
          <w:szCs w:val="24"/>
        </w:rPr>
        <w:t xml:space="preserve">Was the overall student opinion about the materials used in the course positive, neutral, or negative? </w:t>
      </w:r>
      <w:r w:rsidRPr="0A3BC8CA">
        <w:rPr>
          <w:sz w:val="24"/>
          <w:szCs w:val="24"/>
        </w:rPr>
        <w:t>Used Q14.6 on end of semester survey, about textbook increasing their ability to succeed in class.</w:t>
      </w:r>
    </w:p>
    <w:p w14:paraId="31FF61B6" w14:textId="1F9FB7BA" w:rsidR="00684A25" w:rsidRPr="00684A25" w:rsidRDefault="6150DB48" w:rsidP="00C45872">
      <w:pPr>
        <w:ind w:left="1080"/>
        <w:rPr>
          <w:sz w:val="24"/>
          <w:szCs w:val="24"/>
        </w:rPr>
      </w:pPr>
      <w:r w:rsidRPr="6150DB48">
        <w:rPr>
          <w:sz w:val="24"/>
          <w:szCs w:val="24"/>
        </w:rPr>
        <w:t>Total number of students affected in this project: 133</w:t>
      </w:r>
    </w:p>
    <w:p w14:paraId="37FBFE79" w14:textId="6A13E904" w:rsidR="0073273B" w:rsidRPr="001D51FD" w:rsidRDefault="6150DB48" w:rsidP="003F4D85">
      <w:pPr>
        <w:pStyle w:val="ListParagraph"/>
        <w:numPr>
          <w:ilvl w:val="0"/>
          <w:numId w:val="20"/>
        </w:numPr>
        <w:ind w:left="1800"/>
        <w:rPr>
          <w:sz w:val="24"/>
          <w:szCs w:val="24"/>
        </w:rPr>
      </w:pPr>
      <w:r w:rsidRPr="6150DB48">
        <w:rPr>
          <w:sz w:val="24"/>
          <w:szCs w:val="24"/>
        </w:rPr>
        <w:t>Positive:</w:t>
      </w:r>
      <w:r w:rsidR="0073273B">
        <w:tab/>
      </w:r>
      <w:r w:rsidRPr="6150DB48">
        <w:rPr>
          <w:sz w:val="24"/>
          <w:szCs w:val="24"/>
        </w:rPr>
        <w:t>74 % of 23 respondents</w:t>
      </w:r>
    </w:p>
    <w:p w14:paraId="665A9B89" w14:textId="75FD40F1" w:rsidR="00684A25" w:rsidRDefault="6150DB48" w:rsidP="003F4D85">
      <w:pPr>
        <w:pStyle w:val="ListParagraph"/>
        <w:numPr>
          <w:ilvl w:val="0"/>
          <w:numId w:val="20"/>
        </w:numPr>
        <w:ind w:left="1800"/>
        <w:rPr>
          <w:sz w:val="24"/>
          <w:szCs w:val="24"/>
        </w:rPr>
      </w:pPr>
      <w:r w:rsidRPr="6150DB48">
        <w:rPr>
          <w:sz w:val="24"/>
          <w:szCs w:val="24"/>
        </w:rPr>
        <w:t>Neutral:</w:t>
      </w:r>
      <w:r w:rsidR="0073273B">
        <w:tab/>
      </w:r>
      <w:r w:rsidRPr="6150DB48">
        <w:rPr>
          <w:sz w:val="24"/>
          <w:szCs w:val="24"/>
        </w:rPr>
        <w:t>17 % of 23 respondents</w:t>
      </w:r>
    </w:p>
    <w:p w14:paraId="4B4A604B" w14:textId="7E5D8E90" w:rsidR="00C45872" w:rsidRPr="00684A25" w:rsidRDefault="6150DB48" w:rsidP="003F4D85">
      <w:pPr>
        <w:pStyle w:val="ListParagraph"/>
        <w:numPr>
          <w:ilvl w:val="0"/>
          <w:numId w:val="20"/>
        </w:numPr>
        <w:ind w:left="1800"/>
        <w:rPr>
          <w:sz w:val="24"/>
          <w:szCs w:val="24"/>
        </w:rPr>
      </w:pPr>
      <w:r w:rsidRPr="6150DB48">
        <w:rPr>
          <w:sz w:val="24"/>
          <w:szCs w:val="24"/>
        </w:rPr>
        <w:t>Negative:</w:t>
      </w:r>
      <w:r w:rsidR="0073273B">
        <w:tab/>
      </w:r>
      <w:r w:rsidRPr="6150DB48">
        <w:rPr>
          <w:sz w:val="24"/>
          <w:szCs w:val="24"/>
        </w:rPr>
        <w:t>9 % of 23 respondents</w:t>
      </w:r>
      <w:r w:rsidR="0073273B" w:rsidRPr="6150DB48">
        <w:rPr>
          <w:b/>
          <w:bCs/>
          <w:sz w:val="24"/>
          <w:szCs w:val="24"/>
        </w:rPr>
        <w:br w:type="page"/>
      </w:r>
    </w:p>
    <w:p w14:paraId="7F5D0BB0" w14:textId="77777777" w:rsidR="001D51FD" w:rsidRDefault="001D51FD" w:rsidP="00C45872">
      <w:pPr>
        <w:ind w:left="720"/>
        <w:rPr>
          <w:b/>
          <w:sz w:val="24"/>
          <w:szCs w:val="24"/>
        </w:rPr>
      </w:pPr>
      <w:r>
        <w:rPr>
          <w:b/>
          <w:sz w:val="24"/>
          <w:szCs w:val="24"/>
        </w:rPr>
        <w:lastRenderedPageBreak/>
        <w:t>Student Learning Outcomes and Grades</w:t>
      </w:r>
    </w:p>
    <w:p w14:paraId="2FF8566C" w14:textId="77777777" w:rsidR="003F4D85" w:rsidRDefault="00987DD6" w:rsidP="003F4D85">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6EEFE6A7" w14:textId="456652CF" w:rsidR="001E0EE3" w:rsidRPr="003F4D85" w:rsidRDefault="001E0EE3" w:rsidP="003F4D85">
      <w:pPr>
        <w:ind w:left="1080"/>
        <w:rPr>
          <w:b/>
          <w:sz w:val="24"/>
          <w:szCs w:val="24"/>
        </w:rPr>
      </w:pPr>
      <w:r w:rsidRPr="003F4D85">
        <w:rPr>
          <w:i/>
          <w:sz w:val="24"/>
          <w:szCs w:val="24"/>
        </w:rPr>
        <w:t xml:space="preserve">Student outcomes should be described in detail in Section 3b. </w:t>
      </w:r>
      <w:r w:rsidR="00071B22" w:rsidRPr="003F4D85">
        <w:rPr>
          <w:sz w:val="24"/>
          <w:szCs w:val="24"/>
        </w:rPr>
        <w:t xml:space="preserve">      </w:t>
      </w:r>
    </w:p>
    <w:p w14:paraId="77014C4E" w14:textId="65184413" w:rsidR="00071B22" w:rsidRPr="00071B22" w:rsidRDefault="00071B22" w:rsidP="003F4D85">
      <w:pPr>
        <w:pStyle w:val="ListParagraph"/>
        <w:ind w:left="1080"/>
        <w:rPr>
          <w:sz w:val="24"/>
          <w:szCs w:val="24"/>
        </w:rPr>
      </w:pPr>
      <w:r w:rsidRPr="00071B22">
        <w:rPr>
          <w:sz w:val="24"/>
          <w:szCs w:val="24"/>
        </w:rPr>
        <w:t xml:space="preserve">Choose One:  </w:t>
      </w:r>
    </w:p>
    <w:p w14:paraId="07D93CF5" w14:textId="2C65203E" w:rsidR="00071B22" w:rsidRPr="00071B22" w:rsidRDefault="00071B22" w:rsidP="003F4D85">
      <w:pPr>
        <w:pStyle w:val="ListParagraph"/>
        <w:numPr>
          <w:ilvl w:val="0"/>
          <w:numId w:val="22"/>
        </w:numPr>
        <w:ind w:left="1800"/>
        <w:rPr>
          <w:sz w:val="24"/>
          <w:szCs w:val="24"/>
        </w:rPr>
      </w:pPr>
      <w:r>
        <w:rPr>
          <w:sz w:val="24"/>
          <w:szCs w:val="24"/>
        </w:rPr>
        <w:t>___</w:t>
      </w:r>
      <w:r w:rsidR="003F4D85">
        <w:rPr>
          <w:sz w:val="24"/>
          <w:szCs w:val="24"/>
        </w:rPr>
        <w:t xml:space="preserve"> </w:t>
      </w:r>
      <w:r>
        <w:rPr>
          <w:sz w:val="24"/>
          <w:szCs w:val="24"/>
        </w:rPr>
        <w:t xml:space="preserve">Positive: Higher performance outcomes measured over </w:t>
      </w:r>
      <w:r w:rsidRPr="00071B22">
        <w:rPr>
          <w:sz w:val="24"/>
          <w:szCs w:val="24"/>
        </w:rPr>
        <w:t>previous semester(s)</w:t>
      </w:r>
    </w:p>
    <w:p w14:paraId="340436C8" w14:textId="30B75797" w:rsidR="00071B22" w:rsidRPr="00071B22" w:rsidRDefault="0A3BC8CA" w:rsidP="003F4D85">
      <w:pPr>
        <w:pStyle w:val="ListParagraph"/>
        <w:numPr>
          <w:ilvl w:val="0"/>
          <w:numId w:val="22"/>
        </w:numPr>
        <w:ind w:left="1800"/>
        <w:rPr>
          <w:sz w:val="24"/>
          <w:szCs w:val="24"/>
        </w:rPr>
      </w:pPr>
      <w:r w:rsidRPr="0A3BC8CA">
        <w:rPr>
          <w:b/>
          <w:bCs/>
          <w:sz w:val="24"/>
          <w:szCs w:val="24"/>
        </w:rPr>
        <w:t>X  Neutral</w:t>
      </w:r>
      <w:r w:rsidRPr="0A3BC8CA">
        <w:rPr>
          <w:sz w:val="24"/>
          <w:szCs w:val="24"/>
        </w:rPr>
        <w:t>: Same performance outcomes over previous semester(s)</w:t>
      </w:r>
    </w:p>
    <w:p w14:paraId="21614FEB" w14:textId="59CF1EEB" w:rsidR="00C45872" w:rsidRPr="00C45872" w:rsidRDefault="0A3BC8CA" w:rsidP="003F4D85">
      <w:pPr>
        <w:pStyle w:val="ListParagraph"/>
        <w:numPr>
          <w:ilvl w:val="0"/>
          <w:numId w:val="22"/>
        </w:numPr>
        <w:ind w:left="1800"/>
        <w:rPr>
          <w:sz w:val="24"/>
          <w:szCs w:val="24"/>
        </w:rPr>
      </w:pPr>
      <w:r w:rsidRPr="0A3BC8CA">
        <w:rPr>
          <w:sz w:val="24"/>
          <w:szCs w:val="24"/>
        </w:rPr>
        <w:t xml:space="preserve">___ Negative: Lower performance outcomes over previous semester(s) </w:t>
      </w:r>
    </w:p>
    <w:p w14:paraId="189A6684" w14:textId="3FC606F3" w:rsidR="0A3BC8CA" w:rsidRDefault="0A3BC8CA" w:rsidP="0A3BC8CA">
      <w:pPr>
        <w:rPr>
          <w:sz w:val="24"/>
          <w:szCs w:val="24"/>
        </w:rPr>
      </w:pPr>
      <w:r w:rsidRPr="0A3BC8CA">
        <w:rPr>
          <w:sz w:val="24"/>
          <w:szCs w:val="24"/>
        </w:rPr>
        <w:t>As noted elsewhere in the narrative, students who came to class and completed the majority of the assignments generally succeeded in passing the course and meeting stated learning outcomes. Pass rates have been consistent fall-to-fall and spring-to-spring during COVID. There is a marked decrease in pass rates comparing pre-COVID to post-COVID semesters.</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415051F7" w14:textId="20EA3C2C" w:rsidR="0033401E" w:rsidRPr="0033401E" w:rsidRDefault="0033401E" w:rsidP="003F4D85">
      <w:pPr>
        <w:ind w:left="1080"/>
        <w:rPr>
          <w:i/>
          <w:sz w:val="24"/>
          <w:szCs w:val="24"/>
        </w:rPr>
      </w:pPr>
      <w:r>
        <w:rPr>
          <w:i/>
          <w:sz w:val="24"/>
          <w:szCs w:val="24"/>
        </w:rPr>
        <w:t>Depending on what you and your institution can measure, this may also be known as a drop/failure rate or a withdraw/failure rate.</w:t>
      </w:r>
    </w:p>
    <w:p w14:paraId="42D814CB" w14:textId="2E83E3E2" w:rsidR="001E0EE3" w:rsidRPr="001E0EE3" w:rsidRDefault="0A3BC8CA" w:rsidP="003F4D85">
      <w:pPr>
        <w:ind w:left="1080"/>
        <w:rPr>
          <w:sz w:val="24"/>
          <w:szCs w:val="24"/>
        </w:rPr>
      </w:pPr>
      <w:r w:rsidRPr="664AA16F">
        <w:rPr>
          <w:b/>
          <w:bCs/>
          <w:sz w:val="24"/>
          <w:szCs w:val="24"/>
        </w:rPr>
        <w:t>47% of the 32 students affected dropped/failed/withdrew from the course in the final semester of implementation.</w:t>
      </w:r>
      <w:r w:rsidRPr="664AA16F">
        <w:rPr>
          <w:sz w:val="24"/>
          <w:szCs w:val="24"/>
        </w:rPr>
        <w:t xml:space="preserve"> </w:t>
      </w:r>
    </w:p>
    <w:p w14:paraId="151B024A" w14:textId="77777777" w:rsidR="00071B22" w:rsidRPr="00071B22" w:rsidRDefault="00071B22" w:rsidP="003F4D85">
      <w:pPr>
        <w:ind w:left="1080"/>
        <w:rPr>
          <w:sz w:val="24"/>
          <w:szCs w:val="24"/>
        </w:rPr>
      </w:pPr>
      <w:r w:rsidRPr="00071B22">
        <w:rPr>
          <w:sz w:val="24"/>
          <w:szCs w:val="24"/>
        </w:rPr>
        <w:t xml:space="preserve">Choose One:  </w:t>
      </w:r>
    </w:p>
    <w:p w14:paraId="483393F2" w14:textId="33599FC9" w:rsidR="00071B22" w:rsidRPr="00071B22" w:rsidRDefault="001E0EE3" w:rsidP="003F4D85">
      <w:pPr>
        <w:pStyle w:val="ListParagraph"/>
        <w:numPr>
          <w:ilvl w:val="0"/>
          <w:numId w:val="21"/>
        </w:numPr>
        <w:ind w:left="1800"/>
        <w:rPr>
          <w:sz w:val="24"/>
          <w:szCs w:val="24"/>
        </w:rPr>
      </w:pPr>
      <w:r>
        <w:rPr>
          <w:sz w:val="24"/>
          <w:szCs w:val="24"/>
        </w:rPr>
        <w:t>___</w:t>
      </w:r>
      <w:r w:rsidR="003F4D85">
        <w:rPr>
          <w:sz w:val="24"/>
          <w:szCs w:val="24"/>
        </w:rPr>
        <w:t xml:space="preserve">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3B8A6E14" w:rsidR="00071B22" w:rsidRPr="00071B22" w:rsidRDefault="0A3BC8CA" w:rsidP="003F4D85">
      <w:pPr>
        <w:pStyle w:val="ListParagraph"/>
        <w:numPr>
          <w:ilvl w:val="0"/>
          <w:numId w:val="21"/>
        </w:numPr>
        <w:ind w:left="1800"/>
        <w:rPr>
          <w:sz w:val="24"/>
          <w:szCs w:val="24"/>
        </w:rPr>
      </w:pPr>
      <w:r w:rsidRPr="0A3BC8CA">
        <w:rPr>
          <w:b/>
          <w:bCs/>
          <w:sz w:val="24"/>
          <w:szCs w:val="24"/>
        </w:rPr>
        <w:t>X Neutral</w:t>
      </w:r>
      <w:r w:rsidRPr="0A3BC8CA">
        <w:rPr>
          <w:sz w:val="24"/>
          <w:szCs w:val="24"/>
        </w:rPr>
        <w:t>: This is the same percentage of students with D/F/W than previous semester(s)</w:t>
      </w:r>
    </w:p>
    <w:p w14:paraId="6B76307D" w14:textId="24CFB02B" w:rsidR="00C45872" w:rsidRPr="00071B22" w:rsidRDefault="0A3BC8CA" w:rsidP="0A3BC8CA">
      <w:pPr>
        <w:pStyle w:val="ListParagraph"/>
        <w:numPr>
          <w:ilvl w:val="0"/>
          <w:numId w:val="21"/>
        </w:numPr>
        <w:ind w:left="1800"/>
        <w:rPr>
          <w:b/>
          <w:bCs/>
          <w:sz w:val="24"/>
          <w:szCs w:val="24"/>
        </w:rPr>
      </w:pPr>
      <w:r w:rsidRPr="0A3BC8CA">
        <w:rPr>
          <w:sz w:val="24"/>
          <w:szCs w:val="24"/>
        </w:rPr>
        <w:t>____ Negative: This is a higher percentage of students with D/F/W than previous semester(s)</w:t>
      </w:r>
    </w:p>
    <w:p w14:paraId="2558D8E0" w14:textId="61566B6F" w:rsidR="0A3BC8CA" w:rsidRDefault="0A3BC8CA" w:rsidP="0A3BC8CA">
      <w:pPr>
        <w:rPr>
          <w:b/>
          <w:bCs/>
          <w:sz w:val="24"/>
          <w:szCs w:val="24"/>
        </w:rPr>
      </w:pPr>
      <w:r w:rsidRPr="0A3BC8CA">
        <w:rPr>
          <w:sz w:val="24"/>
          <w:szCs w:val="24"/>
        </w:rPr>
        <w:t xml:space="preserve">While this was a higher DFW rate than in previous </w:t>
      </w:r>
      <w:r w:rsidRPr="0A3BC8CA">
        <w:rPr>
          <w:i/>
          <w:iCs/>
          <w:sz w:val="24"/>
          <w:szCs w:val="24"/>
        </w:rPr>
        <w:t xml:space="preserve">fall </w:t>
      </w:r>
      <w:r w:rsidRPr="0A3BC8CA">
        <w:rPr>
          <w:sz w:val="24"/>
          <w:szCs w:val="24"/>
        </w:rPr>
        <w:t xml:space="preserve">semesters, it is consistent with previous COVID-impacted </w:t>
      </w:r>
      <w:r w:rsidRPr="0A3BC8CA">
        <w:rPr>
          <w:i/>
          <w:iCs/>
          <w:sz w:val="24"/>
          <w:szCs w:val="24"/>
        </w:rPr>
        <w:t xml:space="preserve">spring </w:t>
      </w:r>
      <w:r w:rsidRPr="0A3BC8CA">
        <w:rPr>
          <w:sz w:val="24"/>
          <w:szCs w:val="24"/>
        </w:rPr>
        <w:t>terms’ pass rates. Please see chart below for overall comparison of semester pass rate performance.</w:t>
      </w:r>
    </w:p>
    <w:p w14:paraId="6836CF8D" w14:textId="6186F85D" w:rsidR="0073273B" w:rsidRPr="00C45872" w:rsidRDefault="0A3BC8CA" w:rsidP="0A3BC8CA">
      <w:pPr>
        <w:pStyle w:val="Heading2"/>
        <w:numPr>
          <w:ilvl w:val="1"/>
          <w:numId w:val="24"/>
        </w:numPr>
        <w:ind w:left="0" w:firstLine="0"/>
      </w:pPr>
      <w:r>
        <w:lastRenderedPageBreak/>
        <w:t>Measures Narrative</w:t>
      </w:r>
    </w:p>
    <w:p w14:paraId="68D57057" w14:textId="6528FBCA" w:rsidR="0073273B" w:rsidRDefault="0A3BC8CA" w:rsidP="0A3BC8CA">
      <w:pPr>
        <w:ind w:left="720"/>
        <w:rPr>
          <w:i/>
          <w:iCs/>
          <w:sz w:val="24"/>
          <w:szCs w:val="24"/>
        </w:rPr>
      </w:pPr>
      <w:r w:rsidRPr="0A3BC8CA">
        <w:rPr>
          <w:i/>
          <w:iCs/>
          <w:sz w:val="24"/>
          <w:szCs w:val="24"/>
        </w:rPr>
        <w:t xml:space="preserve">In this section, summarize the supporting impact data that you are submitting, including all quantitative and qualitative measures of impact on student success and experience. Include all measures as described in your proposal, along with any measures developed after the proposal submission.  </w:t>
      </w:r>
    </w:p>
    <w:p w14:paraId="208AD268" w14:textId="6B093B27" w:rsidR="6150DB48" w:rsidRDefault="0A3BC8CA" w:rsidP="0A3BC8CA">
      <w:pPr>
        <w:rPr>
          <w:rFonts w:ascii="Calibri" w:eastAsia="Calibri" w:hAnsi="Calibri" w:cs="Calibri"/>
          <w:sz w:val="24"/>
          <w:szCs w:val="24"/>
        </w:rPr>
      </w:pPr>
      <w:r w:rsidRPr="0A3BC8CA">
        <w:rPr>
          <w:rFonts w:ascii="Calibri" w:eastAsia="Calibri" w:hAnsi="Calibri" w:cs="Calibri"/>
          <w:sz w:val="24"/>
          <w:szCs w:val="24"/>
        </w:rPr>
        <w:t xml:space="preserve">As stated in our ALG project proposal, to determine the impact of the OER on </w:t>
      </w:r>
      <w:r w:rsidRPr="0A3BC8CA">
        <w:rPr>
          <w:rFonts w:ascii="Calibri" w:eastAsia="Calibri" w:hAnsi="Calibri" w:cs="Calibri"/>
          <w:b/>
          <w:bCs/>
          <w:i/>
          <w:iCs/>
          <w:sz w:val="24"/>
          <w:szCs w:val="24"/>
        </w:rPr>
        <w:t>student retention and completion rates</w:t>
      </w:r>
      <w:r w:rsidRPr="0A3BC8CA">
        <w:rPr>
          <w:rFonts w:ascii="Calibri" w:eastAsia="Calibri" w:hAnsi="Calibri" w:cs="Calibri"/>
          <w:sz w:val="24"/>
          <w:szCs w:val="24"/>
        </w:rPr>
        <w:t xml:space="preserve"> in GGC 1000, we </w:t>
      </w:r>
      <w:r w:rsidRPr="0A3BC8CA">
        <w:rPr>
          <w:rFonts w:ascii="Calibri" w:eastAsia="Calibri" w:hAnsi="Calibri" w:cs="Calibri"/>
          <w:b/>
          <w:bCs/>
          <w:sz w:val="24"/>
          <w:szCs w:val="24"/>
        </w:rPr>
        <w:t>compared DFW rates</w:t>
      </w:r>
      <w:r w:rsidRPr="0A3BC8CA">
        <w:rPr>
          <w:rFonts w:ascii="Calibri" w:eastAsia="Calibri" w:hAnsi="Calibri" w:cs="Calibri"/>
          <w:sz w:val="24"/>
          <w:szCs w:val="24"/>
        </w:rPr>
        <w:t xml:space="preserve"> from Spring 2022—the semester the OER was used in all sections—to historical GGC 1000 DWF data. We also </w:t>
      </w:r>
      <w:r w:rsidRPr="0A3BC8CA">
        <w:rPr>
          <w:rFonts w:ascii="Calibri" w:eastAsia="Calibri" w:hAnsi="Calibri" w:cs="Calibri"/>
          <w:b/>
          <w:bCs/>
          <w:sz w:val="24"/>
          <w:szCs w:val="24"/>
        </w:rPr>
        <w:t>compared grade distributions in GGC 1000 before and after the implementation of the OER text</w:t>
      </w:r>
      <w:r w:rsidRPr="0A3BC8CA">
        <w:rPr>
          <w:rFonts w:ascii="Calibri" w:eastAsia="Calibri" w:hAnsi="Calibri" w:cs="Calibri"/>
          <w:sz w:val="24"/>
          <w:szCs w:val="24"/>
        </w:rPr>
        <w:t xml:space="preserve">. This pass rate data also was </w:t>
      </w:r>
      <w:r w:rsidRPr="0A3BC8CA">
        <w:rPr>
          <w:rFonts w:ascii="Calibri" w:eastAsia="Calibri" w:hAnsi="Calibri" w:cs="Calibri"/>
          <w:b/>
          <w:bCs/>
          <w:sz w:val="24"/>
          <w:szCs w:val="24"/>
        </w:rPr>
        <w:t xml:space="preserve">disaggregated </w:t>
      </w:r>
      <w:r w:rsidRPr="0A3BC8CA">
        <w:rPr>
          <w:rFonts w:ascii="Calibri" w:eastAsia="Calibri" w:hAnsi="Calibri" w:cs="Calibri"/>
          <w:sz w:val="24"/>
          <w:szCs w:val="24"/>
        </w:rPr>
        <w:t xml:space="preserve">by race/ethnicity and Pell eligibility (where available) to provide another measure of potential </w:t>
      </w:r>
      <w:r w:rsidRPr="0A3BC8CA">
        <w:rPr>
          <w:rFonts w:ascii="Calibri" w:eastAsia="Calibri" w:hAnsi="Calibri" w:cs="Calibri"/>
          <w:b/>
          <w:bCs/>
          <w:sz w:val="24"/>
          <w:szCs w:val="24"/>
        </w:rPr>
        <w:t>equity impact</w:t>
      </w:r>
      <w:r w:rsidRPr="0A3BC8CA">
        <w:rPr>
          <w:rFonts w:ascii="Calibri" w:eastAsia="Calibri" w:hAnsi="Calibri" w:cs="Calibri"/>
          <w:sz w:val="24"/>
          <w:szCs w:val="24"/>
        </w:rPr>
        <w:t xml:space="preserve"> for students. </w:t>
      </w:r>
    </w:p>
    <w:p w14:paraId="63246361" w14:textId="2377005E" w:rsidR="6150DB48" w:rsidRDefault="0A3BC8CA" w:rsidP="0A3BC8CA">
      <w:pPr>
        <w:rPr>
          <w:rFonts w:ascii="Calibri" w:eastAsia="Calibri" w:hAnsi="Calibri" w:cs="Calibri"/>
          <w:sz w:val="24"/>
          <w:szCs w:val="24"/>
        </w:rPr>
      </w:pPr>
      <w:r w:rsidRPr="0A3BC8CA">
        <w:rPr>
          <w:rFonts w:ascii="Calibri" w:eastAsia="Calibri" w:hAnsi="Calibri" w:cs="Calibri"/>
          <w:sz w:val="24"/>
          <w:szCs w:val="24"/>
        </w:rPr>
        <w:t xml:space="preserve">A significant challenge we faced with this work, as noted earlier in this report, was the extremely low enrollment in GGC 1000 for Spring 2022—only 32 students. This makes our data results questionable in reliability, since the sample size overall and survey response rates in particular were so small. We nevertheless provide here the comparative data as a snapshot of where the program results and student outcomes stand. Please note that the Fall 2021 pilot semester for the OER had a significantly larger participant cohort (101 students in 7 pilot sections), which may be more reflective of the correlation between pass rates and the textbook’s impact. </w:t>
      </w:r>
    </w:p>
    <w:p w14:paraId="2F4FCDD3" w14:textId="49E1F942" w:rsidR="0A3BC8CA" w:rsidRDefault="0A3BC8CA" w:rsidP="0A3BC8CA">
      <w:pPr>
        <w:rPr>
          <w:rFonts w:ascii="Calibri" w:eastAsia="Calibri" w:hAnsi="Calibri" w:cs="Calibri"/>
          <w:i/>
          <w:iCs/>
          <w:sz w:val="24"/>
          <w:szCs w:val="24"/>
        </w:rPr>
      </w:pPr>
      <w:r w:rsidRPr="0A3BC8CA">
        <w:rPr>
          <w:rFonts w:ascii="Calibri" w:eastAsia="Calibri" w:hAnsi="Calibri" w:cs="Calibri"/>
          <w:b/>
          <w:bCs/>
          <w:i/>
          <w:iCs/>
          <w:sz w:val="24"/>
          <w:szCs w:val="24"/>
        </w:rPr>
        <w:t>Enrollment Trends</w:t>
      </w:r>
    </w:p>
    <w:p w14:paraId="6C83C207" w14:textId="6E31FF1B" w:rsidR="0A3BC8CA" w:rsidRDefault="0A3BC8CA" w:rsidP="0A3BC8CA">
      <w:pPr>
        <w:rPr>
          <w:rFonts w:ascii="Calibri" w:eastAsia="Calibri" w:hAnsi="Calibri" w:cs="Calibri"/>
          <w:b/>
          <w:bCs/>
          <w:i/>
          <w:iCs/>
          <w:sz w:val="24"/>
          <w:szCs w:val="24"/>
        </w:rPr>
      </w:pPr>
      <w:r w:rsidRPr="0A3BC8CA">
        <w:rPr>
          <w:rFonts w:ascii="Calibri" w:eastAsia="Calibri" w:hAnsi="Calibri" w:cs="Calibri"/>
          <w:sz w:val="24"/>
          <w:szCs w:val="24"/>
        </w:rPr>
        <w:t xml:space="preserve">As the chart below illustrates, spring enrollments are traditionally lower in GGC 1000; this trend is also observable across first-year classes due to the mid-year incoming class being smaller. However, significant declines are noticeable in spring terms starting with 2020, the year COVID became a factor. GGC, like many state colleges and universities in the USG, observed enrollment declines during COVID-impacted years due to outside factors affecting new students’ decision to matriculate and continue, as well as the test optional admissions policy, which sent a lot of our usual incoming cohort members to more selective institutions. We are hopeful that as the pandemic’s effects are mediated that enrollments will rebound. </w:t>
      </w:r>
    </w:p>
    <w:tbl>
      <w:tblPr>
        <w:tblStyle w:val="TableGrid"/>
        <w:tblW w:w="0" w:type="auto"/>
        <w:tblLayout w:type="fixed"/>
        <w:tblLook w:val="0420" w:firstRow="1" w:lastRow="0" w:firstColumn="0" w:lastColumn="0" w:noHBand="0" w:noVBand="1"/>
      </w:tblPr>
      <w:tblGrid>
        <w:gridCol w:w="2835"/>
        <w:gridCol w:w="2175"/>
        <w:gridCol w:w="2505"/>
      </w:tblGrid>
      <w:tr w:rsidR="0A3BC8CA" w14:paraId="2BDAFA14" w14:textId="77777777" w:rsidTr="0A3BC8CA">
        <w:trPr>
          <w:trHeight w:val="585"/>
        </w:trPr>
        <w:tc>
          <w:tcPr>
            <w:tcW w:w="2835"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A9A57C"/>
          </w:tcPr>
          <w:p w14:paraId="67087602" w14:textId="351EC79B" w:rsidR="0A3BC8CA" w:rsidRDefault="0A3BC8CA" w:rsidP="0A3BC8CA">
            <w:pPr>
              <w:rPr>
                <w:rFonts w:ascii="Tw Cen MT" w:eastAsia="Tw Cen MT" w:hAnsi="Tw Cen MT" w:cs="Tw Cen MT"/>
                <w:b/>
                <w:bCs/>
                <w:color w:val="FFFFFF" w:themeColor="background1"/>
                <w:sz w:val="28"/>
                <w:szCs w:val="28"/>
              </w:rPr>
            </w:pPr>
            <w:r w:rsidRPr="0A3BC8CA">
              <w:rPr>
                <w:rFonts w:ascii="Tw Cen MT" w:eastAsia="Tw Cen MT" w:hAnsi="Tw Cen MT" w:cs="Tw Cen MT"/>
                <w:b/>
                <w:bCs/>
                <w:color w:val="FFFFFF" w:themeColor="background1"/>
                <w:sz w:val="28"/>
                <w:szCs w:val="28"/>
              </w:rPr>
              <w:t>Semester</w:t>
            </w:r>
          </w:p>
        </w:tc>
        <w:tc>
          <w:tcPr>
            <w:tcW w:w="2175"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A9A57C"/>
          </w:tcPr>
          <w:p w14:paraId="726F4464" w14:textId="75CE850B" w:rsidR="0A3BC8CA" w:rsidRDefault="0A3BC8CA" w:rsidP="0A3BC8CA">
            <w:pPr>
              <w:rPr>
                <w:rFonts w:ascii="Tw Cen MT" w:eastAsia="Tw Cen MT" w:hAnsi="Tw Cen MT" w:cs="Tw Cen MT"/>
                <w:b/>
                <w:bCs/>
                <w:color w:val="FFFFFF" w:themeColor="background1"/>
                <w:sz w:val="28"/>
                <w:szCs w:val="28"/>
              </w:rPr>
            </w:pPr>
            <w:r w:rsidRPr="0A3BC8CA">
              <w:rPr>
                <w:rFonts w:ascii="Tw Cen MT" w:eastAsia="Tw Cen MT" w:hAnsi="Tw Cen MT" w:cs="Tw Cen MT"/>
                <w:b/>
                <w:bCs/>
                <w:color w:val="FFFFFF" w:themeColor="background1"/>
                <w:sz w:val="28"/>
                <w:szCs w:val="28"/>
              </w:rPr>
              <w:t>Enrollment</w:t>
            </w:r>
          </w:p>
        </w:tc>
        <w:tc>
          <w:tcPr>
            <w:tcW w:w="2505"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A9A57C"/>
          </w:tcPr>
          <w:p w14:paraId="7408C580" w14:textId="68790FE4" w:rsidR="0A3BC8CA" w:rsidRDefault="0A3BC8CA" w:rsidP="0A3BC8CA">
            <w:pPr>
              <w:rPr>
                <w:rFonts w:ascii="Tw Cen MT" w:eastAsia="Tw Cen MT" w:hAnsi="Tw Cen MT" w:cs="Tw Cen MT"/>
                <w:b/>
                <w:bCs/>
                <w:color w:val="FFFFFF" w:themeColor="background1"/>
                <w:sz w:val="28"/>
                <w:szCs w:val="28"/>
              </w:rPr>
            </w:pPr>
            <w:r w:rsidRPr="0A3BC8CA">
              <w:rPr>
                <w:rFonts w:ascii="Tw Cen MT" w:eastAsia="Tw Cen MT" w:hAnsi="Tw Cen MT" w:cs="Tw Cen MT"/>
                <w:b/>
                <w:bCs/>
                <w:color w:val="FFFFFF" w:themeColor="background1"/>
                <w:sz w:val="28"/>
                <w:szCs w:val="28"/>
              </w:rPr>
              <w:t># Sections</w:t>
            </w:r>
          </w:p>
        </w:tc>
      </w:tr>
      <w:tr w:rsidR="0A3BC8CA" w14:paraId="01B59430" w14:textId="77777777" w:rsidTr="0A3BC8CA">
        <w:trPr>
          <w:trHeight w:val="585"/>
        </w:trPr>
        <w:tc>
          <w:tcPr>
            <w:tcW w:w="2835"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2E1D7"/>
          </w:tcPr>
          <w:p w14:paraId="756D0CC4" w14:textId="7DFC4C81" w:rsidR="0A3BC8CA" w:rsidRDefault="0A3BC8CA" w:rsidP="0A3BC8CA">
            <w:pPr>
              <w:rPr>
                <w:rFonts w:ascii="Tw Cen MT" w:eastAsia="Tw Cen MT" w:hAnsi="Tw Cen MT" w:cs="Tw Cen MT"/>
                <w:color w:val="2E2B21"/>
                <w:sz w:val="28"/>
                <w:szCs w:val="28"/>
              </w:rPr>
            </w:pPr>
            <w:r w:rsidRPr="0A3BC8CA">
              <w:rPr>
                <w:rFonts w:ascii="Tw Cen MT" w:eastAsia="Tw Cen MT" w:hAnsi="Tw Cen MT" w:cs="Tw Cen MT"/>
                <w:color w:val="2E2B21"/>
                <w:sz w:val="28"/>
                <w:szCs w:val="28"/>
              </w:rPr>
              <w:t>SP19</w:t>
            </w:r>
          </w:p>
        </w:tc>
        <w:tc>
          <w:tcPr>
            <w:tcW w:w="2175"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2E1D7"/>
          </w:tcPr>
          <w:p w14:paraId="10347AE2" w14:textId="4C3C9D19" w:rsidR="0A3BC8CA" w:rsidRDefault="0A3BC8CA" w:rsidP="0A3BC8CA">
            <w:pPr>
              <w:rPr>
                <w:rFonts w:ascii="Tw Cen MT" w:eastAsia="Tw Cen MT" w:hAnsi="Tw Cen MT" w:cs="Tw Cen MT"/>
                <w:color w:val="2E2B21"/>
                <w:sz w:val="28"/>
                <w:szCs w:val="28"/>
              </w:rPr>
            </w:pPr>
            <w:r w:rsidRPr="0A3BC8CA">
              <w:rPr>
                <w:rFonts w:ascii="Tw Cen MT" w:eastAsia="Tw Cen MT" w:hAnsi="Tw Cen MT" w:cs="Tw Cen MT"/>
                <w:color w:val="2E2B21"/>
                <w:sz w:val="28"/>
                <w:szCs w:val="28"/>
              </w:rPr>
              <w:t>155</w:t>
            </w:r>
          </w:p>
        </w:tc>
        <w:tc>
          <w:tcPr>
            <w:tcW w:w="2505"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2E1D7"/>
          </w:tcPr>
          <w:p w14:paraId="0C352F63" w14:textId="2E4682C2" w:rsidR="0A3BC8CA" w:rsidRDefault="0A3BC8CA" w:rsidP="0A3BC8CA">
            <w:pPr>
              <w:rPr>
                <w:rFonts w:ascii="Tw Cen MT" w:eastAsia="Tw Cen MT" w:hAnsi="Tw Cen MT" w:cs="Tw Cen MT"/>
                <w:color w:val="2E2B21"/>
                <w:sz w:val="28"/>
                <w:szCs w:val="28"/>
              </w:rPr>
            </w:pPr>
            <w:r w:rsidRPr="0A3BC8CA">
              <w:rPr>
                <w:rFonts w:ascii="Tw Cen MT" w:eastAsia="Tw Cen MT" w:hAnsi="Tw Cen MT" w:cs="Tw Cen MT"/>
                <w:color w:val="2E2B21"/>
                <w:sz w:val="28"/>
                <w:szCs w:val="28"/>
              </w:rPr>
              <w:t>17</w:t>
            </w:r>
          </w:p>
        </w:tc>
      </w:tr>
      <w:tr w:rsidR="0A3BC8CA" w14:paraId="1BA07564" w14:textId="77777777" w:rsidTr="0A3BC8CA">
        <w:trPr>
          <w:trHeight w:val="585"/>
        </w:trPr>
        <w:tc>
          <w:tcPr>
            <w:tcW w:w="283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tcPr>
          <w:p w14:paraId="5EE77A4F" w14:textId="7C157A27" w:rsidR="0A3BC8CA" w:rsidRDefault="0A3BC8CA" w:rsidP="0A3BC8CA">
            <w:pPr>
              <w:rPr>
                <w:rFonts w:ascii="Tw Cen MT" w:eastAsia="Tw Cen MT" w:hAnsi="Tw Cen MT" w:cs="Tw Cen MT"/>
                <w:color w:val="2E2B21"/>
                <w:sz w:val="28"/>
                <w:szCs w:val="28"/>
              </w:rPr>
            </w:pPr>
            <w:r w:rsidRPr="0A3BC8CA">
              <w:rPr>
                <w:rFonts w:ascii="Tw Cen MT" w:eastAsia="Tw Cen MT" w:hAnsi="Tw Cen MT" w:cs="Tw Cen MT"/>
                <w:color w:val="2E2B21"/>
                <w:sz w:val="28"/>
                <w:szCs w:val="28"/>
              </w:rPr>
              <w:t>FA19</w:t>
            </w:r>
          </w:p>
        </w:tc>
        <w:tc>
          <w:tcPr>
            <w:tcW w:w="217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tcPr>
          <w:p w14:paraId="7F91ECDD" w14:textId="39A3CE47" w:rsidR="0A3BC8CA" w:rsidRDefault="0A3BC8CA" w:rsidP="0A3BC8CA">
            <w:pPr>
              <w:rPr>
                <w:rFonts w:ascii="Tw Cen MT" w:eastAsia="Tw Cen MT" w:hAnsi="Tw Cen MT" w:cs="Tw Cen MT"/>
                <w:color w:val="2E2B21"/>
                <w:sz w:val="28"/>
                <w:szCs w:val="28"/>
              </w:rPr>
            </w:pPr>
            <w:r w:rsidRPr="0A3BC8CA">
              <w:rPr>
                <w:rFonts w:ascii="Tw Cen MT" w:eastAsia="Tw Cen MT" w:hAnsi="Tw Cen MT" w:cs="Tw Cen MT"/>
                <w:color w:val="2E2B21"/>
                <w:sz w:val="28"/>
                <w:szCs w:val="28"/>
              </w:rPr>
              <w:t>212</w:t>
            </w:r>
          </w:p>
        </w:tc>
        <w:tc>
          <w:tcPr>
            <w:tcW w:w="250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tcPr>
          <w:p w14:paraId="7B8ECB9E" w14:textId="5AB0F918" w:rsidR="0A3BC8CA" w:rsidRDefault="0A3BC8CA" w:rsidP="0A3BC8CA">
            <w:pPr>
              <w:rPr>
                <w:rFonts w:ascii="Tw Cen MT" w:eastAsia="Tw Cen MT" w:hAnsi="Tw Cen MT" w:cs="Tw Cen MT"/>
                <w:color w:val="2E2B21"/>
                <w:sz w:val="28"/>
                <w:szCs w:val="28"/>
              </w:rPr>
            </w:pPr>
            <w:r w:rsidRPr="0A3BC8CA">
              <w:rPr>
                <w:rFonts w:ascii="Tw Cen MT" w:eastAsia="Tw Cen MT" w:hAnsi="Tw Cen MT" w:cs="Tw Cen MT"/>
                <w:color w:val="2E2B21"/>
                <w:sz w:val="28"/>
                <w:szCs w:val="28"/>
              </w:rPr>
              <w:t>16</w:t>
            </w:r>
          </w:p>
        </w:tc>
      </w:tr>
      <w:tr w:rsidR="0A3BC8CA" w14:paraId="7111AED6" w14:textId="77777777" w:rsidTr="0A3BC8CA">
        <w:trPr>
          <w:trHeight w:val="585"/>
        </w:trPr>
        <w:tc>
          <w:tcPr>
            <w:tcW w:w="283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2E1D7"/>
          </w:tcPr>
          <w:p w14:paraId="06696283" w14:textId="59A78238" w:rsidR="0A3BC8CA" w:rsidRDefault="0A3BC8CA" w:rsidP="0A3BC8CA">
            <w:pPr>
              <w:rPr>
                <w:rFonts w:ascii="Tw Cen MT" w:eastAsia="Tw Cen MT" w:hAnsi="Tw Cen MT" w:cs="Tw Cen MT"/>
                <w:color w:val="2E2B21"/>
                <w:sz w:val="28"/>
                <w:szCs w:val="28"/>
              </w:rPr>
            </w:pPr>
            <w:r w:rsidRPr="0A3BC8CA">
              <w:rPr>
                <w:rFonts w:ascii="Tw Cen MT" w:eastAsia="Tw Cen MT" w:hAnsi="Tw Cen MT" w:cs="Tw Cen MT"/>
                <w:color w:val="2E2B21"/>
                <w:sz w:val="28"/>
                <w:szCs w:val="28"/>
              </w:rPr>
              <w:t xml:space="preserve">SP20 </w:t>
            </w:r>
          </w:p>
        </w:tc>
        <w:tc>
          <w:tcPr>
            <w:tcW w:w="217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2E1D7"/>
          </w:tcPr>
          <w:p w14:paraId="0BC8E1EA" w14:textId="1280280C" w:rsidR="0A3BC8CA" w:rsidRDefault="0A3BC8CA" w:rsidP="0A3BC8CA">
            <w:pPr>
              <w:rPr>
                <w:rFonts w:ascii="Tw Cen MT" w:eastAsia="Tw Cen MT" w:hAnsi="Tw Cen MT" w:cs="Tw Cen MT"/>
                <w:color w:val="2E2B21"/>
                <w:sz w:val="28"/>
                <w:szCs w:val="28"/>
              </w:rPr>
            </w:pPr>
            <w:r w:rsidRPr="0A3BC8CA">
              <w:rPr>
                <w:rFonts w:ascii="Tw Cen MT" w:eastAsia="Tw Cen MT" w:hAnsi="Tw Cen MT" w:cs="Tw Cen MT"/>
                <w:color w:val="2E2B21"/>
                <w:sz w:val="28"/>
                <w:szCs w:val="28"/>
              </w:rPr>
              <w:t>106</w:t>
            </w:r>
          </w:p>
        </w:tc>
        <w:tc>
          <w:tcPr>
            <w:tcW w:w="250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2E1D7"/>
          </w:tcPr>
          <w:p w14:paraId="50B6ECE7" w14:textId="75B75929" w:rsidR="0A3BC8CA" w:rsidRDefault="0A3BC8CA" w:rsidP="0A3BC8CA">
            <w:pPr>
              <w:rPr>
                <w:rFonts w:ascii="Tw Cen MT" w:eastAsia="Tw Cen MT" w:hAnsi="Tw Cen MT" w:cs="Tw Cen MT"/>
                <w:color w:val="2E2B21"/>
                <w:sz w:val="28"/>
                <w:szCs w:val="28"/>
              </w:rPr>
            </w:pPr>
            <w:r w:rsidRPr="0A3BC8CA">
              <w:rPr>
                <w:rFonts w:ascii="Tw Cen MT" w:eastAsia="Tw Cen MT" w:hAnsi="Tw Cen MT" w:cs="Tw Cen MT"/>
                <w:color w:val="2E2B21"/>
                <w:sz w:val="28"/>
                <w:szCs w:val="28"/>
              </w:rPr>
              <w:t>12</w:t>
            </w:r>
          </w:p>
        </w:tc>
      </w:tr>
      <w:tr w:rsidR="0A3BC8CA" w14:paraId="24C98B9D" w14:textId="77777777" w:rsidTr="0A3BC8CA">
        <w:trPr>
          <w:trHeight w:val="585"/>
        </w:trPr>
        <w:tc>
          <w:tcPr>
            <w:tcW w:w="283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tcPr>
          <w:p w14:paraId="2C2D460F" w14:textId="36A55697" w:rsidR="0A3BC8CA" w:rsidRDefault="0A3BC8CA" w:rsidP="0A3BC8CA">
            <w:pPr>
              <w:rPr>
                <w:rFonts w:ascii="Tw Cen MT" w:eastAsia="Tw Cen MT" w:hAnsi="Tw Cen MT" w:cs="Tw Cen MT"/>
                <w:color w:val="2E2B21"/>
                <w:sz w:val="28"/>
                <w:szCs w:val="28"/>
              </w:rPr>
            </w:pPr>
            <w:r w:rsidRPr="0A3BC8CA">
              <w:rPr>
                <w:rFonts w:ascii="Tw Cen MT" w:eastAsia="Tw Cen MT" w:hAnsi="Tw Cen MT" w:cs="Tw Cen MT"/>
                <w:color w:val="2E2B21"/>
                <w:sz w:val="28"/>
                <w:szCs w:val="28"/>
              </w:rPr>
              <w:t xml:space="preserve">FA20 </w:t>
            </w:r>
          </w:p>
        </w:tc>
        <w:tc>
          <w:tcPr>
            <w:tcW w:w="217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tcPr>
          <w:p w14:paraId="165C95FE" w14:textId="565D87B7" w:rsidR="0A3BC8CA" w:rsidRDefault="0A3BC8CA" w:rsidP="0A3BC8CA">
            <w:pPr>
              <w:rPr>
                <w:rFonts w:ascii="Tw Cen MT" w:eastAsia="Tw Cen MT" w:hAnsi="Tw Cen MT" w:cs="Tw Cen MT"/>
                <w:color w:val="2E2B21"/>
                <w:sz w:val="28"/>
                <w:szCs w:val="28"/>
              </w:rPr>
            </w:pPr>
            <w:r w:rsidRPr="0A3BC8CA">
              <w:rPr>
                <w:rFonts w:ascii="Tw Cen MT" w:eastAsia="Tw Cen MT" w:hAnsi="Tw Cen MT" w:cs="Tw Cen MT"/>
                <w:color w:val="2E2B21"/>
                <w:sz w:val="28"/>
                <w:szCs w:val="28"/>
              </w:rPr>
              <w:t>263</w:t>
            </w:r>
          </w:p>
        </w:tc>
        <w:tc>
          <w:tcPr>
            <w:tcW w:w="250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tcPr>
          <w:p w14:paraId="552E0970" w14:textId="46AB00E6" w:rsidR="0A3BC8CA" w:rsidRDefault="0A3BC8CA" w:rsidP="0A3BC8CA">
            <w:pPr>
              <w:rPr>
                <w:rFonts w:ascii="Tw Cen MT" w:eastAsia="Tw Cen MT" w:hAnsi="Tw Cen MT" w:cs="Tw Cen MT"/>
                <w:color w:val="2E2B21"/>
                <w:sz w:val="28"/>
                <w:szCs w:val="28"/>
              </w:rPr>
            </w:pPr>
            <w:r w:rsidRPr="0A3BC8CA">
              <w:rPr>
                <w:rFonts w:ascii="Tw Cen MT" w:eastAsia="Tw Cen MT" w:hAnsi="Tw Cen MT" w:cs="Tw Cen MT"/>
                <w:color w:val="2E2B21"/>
                <w:sz w:val="28"/>
                <w:szCs w:val="28"/>
              </w:rPr>
              <w:t>21</w:t>
            </w:r>
          </w:p>
        </w:tc>
      </w:tr>
      <w:tr w:rsidR="0A3BC8CA" w14:paraId="3FEFB2D4" w14:textId="77777777" w:rsidTr="0A3BC8CA">
        <w:trPr>
          <w:trHeight w:val="585"/>
        </w:trPr>
        <w:tc>
          <w:tcPr>
            <w:tcW w:w="283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2E1D7"/>
          </w:tcPr>
          <w:p w14:paraId="35828310" w14:textId="7E89300C" w:rsidR="0A3BC8CA" w:rsidRDefault="0A3BC8CA" w:rsidP="0A3BC8CA">
            <w:pPr>
              <w:rPr>
                <w:rFonts w:ascii="Tw Cen MT" w:eastAsia="Tw Cen MT" w:hAnsi="Tw Cen MT" w:cs="Tw Cen MT"/>
                <w:color w:val="2E2B21"/>
                <w:sz w:val="28"/>
                <w:szCs w:val="28"/>
              </w:rPr>
            </w:pPr>
            <w:r w:rsidRPr="0A3BC8CA">
              <w:rPr>
                <w:rFonts w:ascii="Tw Cen MT" w:eastAsia="Tw Cen MT" w:hAnsi="Tw Cen MT" w:cs="Tw Cen MT"/>
                <w:color w:val="2E2B21"/>
                <w:sz w:val="28"/>
                <w:szCs w:val="28"/>
              </w:rPr>
              <w:lastRenderedPageBreak/>
              <w:t>SP21</w:t>
            </w:r>
          </w:p>
        </w:tc>
        <w:tc>
          <w:tcPr>
            <w:tcW w:w="217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2E1D7"/>
          </w:tcPr>
          <w:p w14:paraId="4664EEC4" w14:textId="3A5A7742" w:rsidR="0A3BC8CA" w:rsidRDefault="0A3BC8CA" w:rsidP="0A3BC8CA">
            <w:pPr>
              <w:rPr>
                <w:rFonts w:ascii="Tw Cen MT" w:eastAsia="Tw Cen MT" w:hAnsi="Tw Cen MT" w:cs="Tw Cen MT"/>
                <w:color w:val="2E2B21"/>
                <w:sz w:val="28"/>
                <w:szCs w:val="28"/>
              </w:rPr>
            </w:pPr>
            <w:r w:rsidRPr="0A3BC8CA">
              <w:rPr>
                <w:rFonts w:ascii="Tw Cen MT" w:eastAsia="Tw Cen MT" w:hAnsi="Tw Cen MT" w:cs="Tw Cen MT"/>
                <w:color w:val="2E2B21"/>
                <w:sz w:val="28"/>
                <w:szCs w:val="28"/>
              </w:rPr>
              <w:t>65</w:t>
            </w:r>
          </w:p>
        </w:tc>
        <w:tc>
          <w:tcPr>
            <w:tcW w:w="250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2E1D7"/>
          </w:tcPr>
          <w:p w14:paraId="114091D2" w14:textId="30A13072" w:rsidR="0A3BC8CA" w:rsidRDefault="0A3BC8CA" w:rsidP="0A3BC8CA">
            <w:pPr>
              <w:rPr>
                <w:rFonts w:ascii="Tw Cen MT" w:eastAsia="Tw Cen MT" w:hAnsi="Tw Cen MT" w:cs="Tw Cen MT"/>
                <w:color w:val="2E2B21"/>
                <w:sz w:val="28"/>
                <w:szCs w:val="28"/>
              </w:rPr>
            </w:pPr>
            <w:r w:rsidRPr="0A3BC8CA">
              <w:rPr>
                <w:rFonts w:ascii="Tw Cen MT" w:eastAsia="Tw Cen MT" w:hAnsi="Tw Cen MT" w:cs="Tw Cen MT"/>
                <w:color w:val="2E2B21"/>
                <w:sz w:val="28"/>
                <w:szCs w:val="28"/>
              </w:rPr>
              <w:t>6</w:t>
            </w:r>
          </w:p>
        </w:tc>
      </w:tr>
      <w:tr w:rsidR="0A3BC8CA" w14:paraId="58A2EF87" w14:textId="77777777" w:rsidTr="0A3BC8CA">
        <w:trPr>
          <w:trHeight w:val="585"/>
        </w:trPr>
        <w:tc>
          <w:tcPr>
            <w:tcW w:w="283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tcPr>
          <w:p w14:paraId="7A9D882D" w14:textId="292A5767" w:rsidR="0A3BC8CA" w:rsidRDefault="0A3BC8CA" w:rsidP="0A3BC8CA">
            <w:pPr>
              <w:rPr>
                <w:rFonts w:ascii="Tw Cen MT" w:eastAsia="Tw Cen MT" w:hAnsi="Tw Cen MT" w:cs="Tw Cen MT"/>
                <w:color w:val="2E2B21"/>
                <w:sz w:val="28"/>
                <w:szCs w:val="28"/>
              </w:rPr>
            </w:pPr>
            <w:r w:rsidRPr="0A3BC8CA">
              <w:rPr>
                <w:rFonts w:ascii="Tw Cen MT" w:eastAsia="Tw Cen MT" w:hAnsi="Tw Cen MT" w:cs="Tw Cen MT"/>
                <w:color w:val="2E2B21"/>
                <w:sz w:val="28"/>
                <w:szCs w:val="28"/>
              </w:rPr>
              <w:t>FA21 (OER pilot)</w:t>
            </w:r>
          </w:p>
        </w:tc>
        <w:tc>
          <w:tcPr>
            <w:tcW w:w="217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tcPr>
          <w:p w14:paraId="2032BD30" w14:textId="073A9A64" w:rsidR="0A3BC8CA" w:rsidRDefault="0A3BC8CA" w:rsidP="0A3BC8CA">
            <w:pPr>
              <w:rPr>
                <w:rFonts w:ascii="Tw Cen MT" w:eastAsia="Tw Cen MT" w:hAnsi="Tw Cen MT" w:cs="Tw Cen MT"/>
                <w:color w:val="2E2B21"/>
                <w:sz w:val="28"/>
                <w:szCs w:val="28"/>
              </w:rPr>
            </w:pPr>
            <w:r w:rsidRPr="0A3BC8CA">
              <w:rPr>
                <w:rFonts w:ascii="Tw Cen MT" w:eastAsia="Tw Cen MT" w:hAnsi="Tw Cen MT" w:cs="Tw Cen MT"/>
                <w:color w:val="2E2B21"/>
                <w:sz w:val="28"/>
                <w:szCs w:val="28"/>
              </w:rPr>
              <w:t>259 (101 in pilot)</w:t>
            </w:r>
          </w:p>
        </w:tc>
        <w:tc>
          <w:tcPr>
            <w:tcW w:w="250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tcPr>
          <w:p w14:paraId="05E7E96C" w14:textId="7BA17AFD" w:rsidR="0A3BC8CA" w:rsidRDefault="0A3BC8CA" w:rsidP="0A3BC8CA">
            <w:pPr>
              <w:rPr>
                <w:rFonts w:ascii="Tw Cen MT" w:eastAsia="Tw Cen MT" w:hAnsi="Tw Cen MT" w:cs="Tw Cen MT"/>
                <w:color w:val="2E2B21"/>
                <w:sz w:val="28"/>
                <w:szCs w:val="28"/>
              </w:rPr>
            </w:pPr>
            <w:r w:rsidRPr="0A3BC8CA">
              <w:rPr>
                <w:rFonts w:ascii="Tw Cen MT" w:eastAsia="Tw Cen MT" w:hAnsi="Tw Cen MT" w:cs="Tw Cen MT"/>
                <w:color w:val="2E2B21"/>
                <w:sz w:val="28"/>
                <w:szCs w:val="28"/>
              </w:rPr>
              <w:t>18 (7 sections in pilot)</w:t>
            </w:r>
          </w:p>
        </w:tc>
      </w:tr>
      <w:tr w:rsidR="0A3BC8CA" w14:paraId="155CB82E" w14:textId="77777777" w:rsidTr="0A3BC8CA">
        <w:trPr>
          <w:trHeight w:val="585"/>
        </w:trPr>
        <w:tc>
          <w:tcPr>
            <w:tcW w:w="283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tcPr>
          <w:p w14:paraId="3DB2583D" w14:textId="7A9DBDAA" w:rsidR="0A3BC8CA" w:rsidRDefault="0A3BC8CA" w:rsidP="0A3BC8CA">
            <w:pPr>
              <w:rPr>
                <w:rFonts w:ascii="Tw Cen MT" w:eastAsia="Tw Cen MT" w:hAnsi="Tw Cen MT" w:cs="Tw Cen MT"/>
                <w:color w:val="2E2B21"/>
                <w:sz w:val="28"/>
                <w:szCs w:val="28"/>
              </w:rPr>
            </w:pPr>
            <w:r w:rsidRPr="0A3BC8CA">
              <w:rPr>
                <w:rFonts w:ascii="Tw Cen MT" w:eastAsia="Tw Cen MT" w:hAnsi="Tw Cen MT" w:cs="Tw Cen MT"/>
                <w:color w:val="2E2B21"/>
                <w:sz w:val="28"/>
                <w:szCs w:val="28"/>
              </w:rPr>
              <w:t>SP22 (OER scale)</w:t>
            </w:r>
          </w:p>
        </w:tc>
        <w:tc>
          <w:tcPr>
            <w:tcW w:w="217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tcPr>
          <w:p w14:paraId="1AE0D0FB" w14:textId="0BA75AE8" w:rsidR="0A3BC8CA" w:rsidRDefault="0A3BC8CA" w:rsidP="0A3BC8CA">
            <w:pPr>
              <w:rPr>
                <w:rFonts w:ascii="Tw Cen MT" w:eastAsia="Tw Cen MT" w:hAnsi="Tw Cen MT" w:cs="Tw Cen MT"/>
                <w:color w:val="2E2B21"/>
                <w:sz w:val="28"/>
                <w:szCs w:val="28"/>
              </w:rPr>
            </w:pPr>
            <w:r w:rsidRPr="0A3BC8CA">
              <w:rPr>
                <w:rFonts w:ascii="Tw Cen MT" w:eastAsia="Tw Cen MT" w:hAnsi="Tw Cen MT" w:cs="Tw Cen MT"/>
                <w:color w:val="2E2B21"/>
                <w:sz w:val="28"/>
                <w:szCs w:val="28"/>
              </w:rPr>
              <w:t>32</w:t>
            </w:r>
          </w:p>
        </w:tc>
        <w:tc>
          <w:tcPr>
            <w:tcW w:w="250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tcPr>
          <w:p w14:paraId="07D66FEE" w14:textId="2725858F" w:rsidR="0A3BC8CA" w:rsidRDefault="0A3BC8CA" w:rsidP="0A3BC8CA">
            <w:pPr>
              <w:rPr>
                <w:rFonts w:ascii="Tw Cen MT" w:eastAsia="Tw Cen MT" w:hAnsi="Tw Cen MT" w:cs="Tw Cen MT"/>
                <w:color w:val="2E2B21"/>
                <w:sz w:val="28"/>
                <w:szCs w:val="28"/>
              </w:rPr>
            </w:pPr>
            <w:r w:rsidRPr="0A3BC8CA">
              <w:rPr>
                <w:rFonts w:ascii="Tw Cen MT" w:eastAsia="Tw Cen MT" w:hAnsi="Tw Cen MT" w:cs="Tw Cen MT"/>
                <w:color w:val="2E2B21"/>
                <w:sz w:val="28"/>
                <w:szCs w:val="28"/>
              </w:rPr>
              <w:t>4</w:t>
            </w:r>
          </w:p>
        </w:tc>
      </w:tr>
    </w:tbl>
    <w:p w14:paraId="39BC7C03" w14:textId="0D4DF9C1" w:rsidR="0A3BC8CA" w:rsidRDefault="0A3BC8CA" w:rsidP="0A3BC8CA">
      <w:pPr>
        <w:rPr>
          <w:rFonts w:ascii="Calibri" w:eastAsia="Calibri" w:hAnsi="Calibri" w:cs="Calibri"/>
          <w:b/>
          <w:bCs/>
          <w:i/>
          <w:iCs/>
          <w:sz w:val="24"/>
          <w:szCs w:val="24"/>
        </w:rPr>
      </w:pPr>
    </w:p>
    <w:p w14:paraId="1E199728" w14:textId="4D9C3193" w:rsidR="6150DB48" w:rsidRDefault="0A3BC8CA" w:rsidP="0A3BC8CA">
      <w:pPr>
        <w:rPr>
          <w:i/>
          <w:iCs/>
          <w:sz w:val="24"/>
          <w:szCs w:val="24"/>
        </w:rPr>
      </w:pPr>
      <w:r w:rsidRPr="0A3BC8CA">
        <w:rPr>
          <w:b/>
          <w:bCs/>
          <w:i/>
          <w:iCs/>
          <w:sz w:val="24"/>
          <w:szCs w:val="24"/>
        </w:rPr>
        <w:t>Grade Distributions</w:t>
      </w:r>
    </w:p>
    <w:p w14:paraId="532DE827" w14:textId="2436C024" w:rsidR="6150DB48" w:rsidRDefault="0A3BC8CA" w:rsidP="0A3BC8CA">
      <w:pPr>
        <w:rPr>
          <w:b/>
          <w:bCs/>
          <w:i/>
          <w:iCs/>
          <w:sz w:val="24"/>
          <w:szCs w:val="24"/>
        </w:rPr>
      </w:pPr>
      <w:r w:rsidRPr="0A3BC8CA">
        <w:rPr>
          <w:sz w:val="24"/>
          <w:szCs w:val="24"/>
        </w:rPr>
        <w:t xml:space="preserve">Grade distributions below include all participating students in GGC 1000. </w:t>
      </w:r>
    </w:p>
    <w:tbl>
      <w:tblPr>
        <w:tblStyle w:val="TableGrid"/>
        <w:tblW w:w="0" w:type="auto"/>
        <w:tblLayout w:type="fixed"/>
        <w:tblLook w:val="0600" w:firstRow="0" w:lastRow="0" w:firstColumn="0" w:lastColumn="0" w:noHBand="1" w:noVBand="1"/>
      </w:tblPr>
      <w:tblGrid>
        <w:gridCol w:w="1080"/>
        <w:gridCol w:w="836"/>
        <w:gridCol w:w="924"/>
        <w:gridCol w:w="796"/>
        <w:gridCol w:w="761"/>
        <w:gridCol w:w="1095"/>
        <w:gridCol w:w="1035"/>
        <w:gridCol w:w="924"/>
        <w:gridCol w:w="950"/>
        <w:gridCol w:w="1110"/>
      </w:tblGrid>
      <w:tr w:rsidR="0A3BC8CA" w14:paraId="05874721" w14:textId="77777777" w:rsidTr="0A3BC8CA">
        <w:trPr>
          <w:trHeight w:val="600"/>
        </w:trPr>
        <w:tc>
          <w:tcPr>
            <w:tcW w:w="108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0C5A0EF1" w14:textId="2F2F748E" w:rsidR="0A3BC8CA" w:rsidRDefault="0A3BC8CA" w:rsidP="0A3BC8CA">
            <w:pPr>
              <w:jc w:val="center"/>
            </w:pPr>
            <w:r w:rsidRPr="0A3BC8CA">
              <w:rPr>
                <w:rFonts w:ascii="Tw Cen MT" w:eastAsia="Tw Cen MT" w:hAnsi="Tw Cen MT" w:cs="Tw Cen MT"/>
                <w:b/>
                <w:bCs/>
                <w:color w:val="2E2B21"/>
                <w:sz w:val="28"/>
                <w:szCs w:val="28"/>
              </w:rPr>
              <w:t>Term</w:t>
            </w:r>
          </w:p>
        </w:tc>
        <w:tc>
          <w:tcPr>
            <w:tcW w:w="83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5A9D7554" w14:textId="31B2D638" w:rsidR="0A3BC8CA" w:rsidRDefault="0A3BC8CA" w:rsidP="0A3BC8CA">
            <w:pPr>
              <w:jc w:val="center"/>
            </w:pPr>
            <w:r w:rsidRPr="0A3BC8CA">
              <w:rPr>
                <w:rFonts w:ascii="Tw Cen MT" w:eastAsia="Tw Cen MT" w:hAnsi="Tw Cen MT" w:cs="Tw Cen MT"/>
                <w:b/>
                <w:bCs/>
                <w:color w:val="2E2B21"/>
                <w:sz w:val="28"/>
                <w:szCs w:val="28"/>
              </w:rPr>
              <w:t>A</w:t>
            </w:r>
          </w:p>
        </w:tc>
        <w:tc>
          <w:tcPr>
            <w:tcW w:w="92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44D1CAD9" w14:textId="26D73F3A" w:rsidR="0A3BC8CA" w:rsidRDefault="0A3BC8CA" w:rsidP="0A3BC8CA">
            <w:pPr>
              <w:jc w:val="center"/>
            </w:pPr>
            <w:r w:rsidRPr="0A3BC8CA">
              <w:rPr>
                <w:rFonts w:ascii="Tw Cen MT" w:eastAsia="Tw Cen MT" w:hAnsi="Tw Cen MT" w:cs="Tw Cen MT"/>
                <w:b/>
                <w:bCs/>
                <w:color w:val="2E2B21"/>
                <w:sz w:val="28"/>
                <w:szCs w:val="28"/>
              </w:rPr>
              <w:t>B</w:t>
            </w:r>
          </w:p>
        </w:tc>
        <w:tc>
          <w:tcPr>
            <w:tcW w:w="79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28A6C7C4" w14:textId="79D9674C" w:rsidR="0A3BC8CA" w:rsidRDefault="0A3BC8CA" w:rsidP="0A3BC8CA">
            <w:pPr>
              <w:jc w:val="center"/>
            </w:pPr>
            <w:r w:rsidRPr="0A3BC8CA">
              <w:rPr>
                <w:rFonts w:ascii="Tw Cen MT" w:eastAsia="Tw Cen MT" w:hAnsi="Tw Cen MT" w:cs="Tw Cen MT"/>
                <w:b/>
                <w:bCs/>
                <w:color w:val="2E2B21"/>
                <w:sz w:val="28"/>
                <w:szCs w:val="28"/>
              </w:rPr>
              <w:t>C</w:t>
            </w:r>
          </w:p>
        </w:tc>
        <w:tc>
          <w:tcPr>
            <w:tcW w:w="76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773F69E8" w14:textId="6E0E3730" w:rsidR="0A3BC8CA" w:rsidRDefault="0A3BC8CA" w:rsidP="0A3BC8CA">
            <w:pPr>
              <w:jc w:val="center"/>
            </w:pPr>
            <w:r w:rsidRPr="0A3BC8CA">
              <w:rPr>
                <w:rFonts w:ascii="Tw Cen MT" w:eastAsia="Tw Cen MT" w:hAnsi="Tw Cen MT" w:cs="Tw Cen MT"/>
                <w:b/>
                <w:bCs/>
                <w:color w:val="2E2B21"/>
                <w:sz w:val="28"/>
                <w:szCs w:val="28"/>
              </w:rPr>
              <w:t>D</w:t>
            </w:r>
          </w:p>
        </w:tc>
        <w:tc>
          <w:tcPr>
            <w:tcW w:w="109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5B20A514" w14:textId="7103C7A1" w:rsidR="0A3BC8CA" w:rsidRDefault="0A3BC8CA" w:rsidP="0A3BC8CA">
            <w:pPr>
              <w:jc w:val="center"/>
            </w:pPr>
            <w:r w:rsidRPr="0A3BC8CA">
              <w:rPr>
                <w:rFonts w:ascii="Tw Cen MT" w:eastAsia="Tw Cen MT" w:hAnsi="Tw Cen MT" w:cs="Tw Cen MT"/>
                <w:b/>
                <w:bCs/>
                <w:color w:val="2E2B21"/>
                <w:sz w:val="28"/>
                <w:szCs w:val="28"/>
              </w:rPr>
              <w:t>F</w:t>
            </w:r>
          </w:p>
        </w:tc>
        <w:tc>
          <w:tcPr>
            <w:tcW w:w="103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3C606EC8" w14:textId="42DF6000" w:rsidR="0A3BC8CA" w:rsidRDefault="0A3BC8CA" w:rsidP="0A3BC8CA">
            <w:pPr>
              <w:jc w:val="center"/>
            </w:pPr>
            <w:r w:rsidRPr="0A3BC8CA">
              <w:rPr>
                <w:rFonts w:ascii="Tw Cen MT" w:eastAsia="Tw Cen MT" w:hAnsi="Tw Cen MT" w:cs="Tw Cen MT"/>
                <w:b/>
                <w:bCs/>
                <w:color w:val="2E2B21"/>
                <w:sz w:val="28"/>
                <w:szCs w:val="28"/>
              </w:rPr>
              <w:t>I</w:t>
            </w:r>
          </w:p>
        </w:tc>
        <w:tc>
          <w:tcPr>
            <w:tcW w:w="92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499D8F5B" w14:textId="2DDB28A2" w:rsidR="0A3BC8CA" w:rsidRDefault="0A3BC8CA" w:rsidP="0A3BC8CA">
            <w:pPr>
              <w:jc w:val="center"/>
            </w:pPr>
            <w:r w:rsidRPr="0A3BC8CA">
              <w:rPr>
                <w:rFonts w:ascii="Tw Cen MT" w:eastAsia="Tw Cen MT" w:hAnsi="Tw Cen MT" w:cs="Tw Cen MT"/>
                <w:b/>
                <w:bCs/>
                <w:color w:val="2E2B21"/>
                <w:sz w:val="28"/>
                <w:szCs w:val="28"/>
              </w:rPr>
              <w:t>W</w:t>
            </w:r>
          </w:p>
        </w:tc>
        <w:tc>
          <w:tcPr>
            <w:tcW w:w="95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44FB664D" w14:textId="05F5F1E9" w:rsidR="0A3BC8CA" w:rsidRDefault="0A3BC8CA" w:rsidP="0A3BC8CA">
            <w:pPr>
              <w:jc w:val="center"/>
            </w:pPr>
            <w:r w:rsidRPr="0A3BC8CA">
              <w:rPr>
                <w:rFonts w:ascii="Tw Cen MT" w:eastAsia="Tw Cen MT" w:hAnsi="Tw Cen MT" w:cs="Tw Cen MT"/>
                <w:b/>
                <w:bCs/>
                <w:color w:val="2E2B21"/>
                <w:sz w:val="28"/>
                <w:szCs w:val="28"/>
              </w:rPr>
              <w:t>WF</w:t>
            </w:r>
          </w:p>
        </w:tc>
        <w:tc>
          <w:tcPr>
            <w:tcW w:w="111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35711E03" w14:textId="4A7B0A92" w:rsidR="0A3BC8CA" w:rsidRDefault="0A3BC8CA" w:rsidP="0A3BC8CA">
            <w:pPr>
              <w:jc w:val="center"/>
            </w:pPr>
            <w:r w:rsidRPr="0A3BC8CA">
              <w:rPr>
                <w:rFonts w:ascii="Tw Cen MT" w:eastAsia="Tw Cen MT" w:hAnsi="Tw Cen MT" w:cs="Tw Cen MT"/>
                <w:b/>
                <w:bCs/>
                <w:color w:val="2E2B21"/>
                <w:sz w:val="28"/>
                <w:szCs w:val="28"/>
              </w:rPr>
              <w:t>Grand Total</w:t>
            </w:r>
          </w:p>
        </w:tc>
      </w:tr>
      <w:tr w:rsidR="0A3BC8CA" w14:paraId="1020C686" w14:textId="77777777" w:rsidTr="0A3BC8CA">
        <w:trPr>
          <w:trHeight w:val="600"/>
        </w:trPr>
        <w:tc>
          <w:tcPr>
            <w:tcW w:w="108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7B6CEDB7" w14:textId="015D9F5E" w:rsidR="0A3BC8CA" w:rsidRDefault="0A3BC8CA" w:rsidP="0A3BC8CA">
            <w:r w:rsidRPr="0A3BC8CA">
              <w:rPr>
                <w:rFonts w:ascii="Tw Cen MT" w:eastAsia="Tw Cen MT" w:hAnsi="Tw Cen MT" w:cs="Tw Cen MT"/>
                <w:b/>
                <w:bCs/>
                <w:color w:val="2E2B21"/>
                <w:sz w:val="28"/>
                <w:szCs w:val="28"/>
              </w:rPr>
              <w:t>Fall 2018</w:t>
            </w:r>
          </w:p>
        </w:tc>
        <w:tc>
          <w:tcPr>
            <w:tcW w:w="83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5EC11F4C" w14:textId="20264F7B" w:rsidR="0A3BC8CA" w:rsidRDefault="0A3BC8CA" w:rsidP="0A3BC8CA">
            <w:pPr>
              <w:jc w:val="right"/>
            </w:pPr>
            <w:r w:rsidRPr="0A3BC8CA">
              <w:rPr>
                <w:rFonts w:ascii="Tw Cen MT" w:eastAsia="Tw Cen MT" w:hAnsi="Tw Cen MT" w:cs="Tw Cen MT"/>
                <w:color w:val="2E2B21"/>
                <w:sz w:val="28"/>
                <w:szCs w:val="28"/>
              </w:rPr>
              <w:t>96</w:t>
            </w:r>
          </w:p>
        </w:tc>
        <w:tc>
          <w:tcPr>
            <w:tcW w:w="92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4F45D157" w14:textId="185FBA26" w:rsidR="0A3BC8CA" w:rsidRDefault="0A3BC8CA" w:rsidP="0A3BC8CA">
            <w:pPr>
              <w:jc w:val="right"/>
            </w:pPr>
            <w:r w:rsidRPr="0A3BC8CA">
              <w:rPr>
                <w:rFonts w:ascii="Tw Cen MT" w:eastAsia="Tw Cen MT" w:hAnsi="Tw Cen MT" w:cs="Tw Cen MT"/>
                <w:color w:val="2E2B21"/>
                <w:sz w:val="28"/>
                <w:szCs w:val="28"/>
              </w:rPr>
              <w:t>52</w:t>
            </w:r>
          </w:p>
        </w:tc>
        <w:tc>
          <w:tcPr>
            <w:tcW w:w="79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306FFB4D" w14:textId="3C76D09A" w:rsidR="0A3BC8CA" w:rsidRDefault="0A3BC8CA" w:rsidP="0A3BC8CA">
            <w:pPr>
              <w:jc w:val="right"/>
            </w:pPr>
            <w:r w:rsidRPr="0A3BC8CA">
              <w:rPr>
                <w:rFonts w:ascii="Tw Cen MT" w:eastAsia="Tw Cen MT" w:hAnsi="Tw Cen MT" w:cs="Tw Cen MT"/>
                <w:color w:val="2E2B21"/>
                <w:sz w:val="28"/>
                <w:szCs w:val="28"/>
              </w:rPr>
              <w:t>24</w:t>
            </w:r>
          </w:p>
        </w:tc>
        <w:tc>
          <w:tcPr>
            <w:tcW w:w="76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0A479C44" w14:textId="6E662D9E" w:rsidR="0A3BC8CA" w:rsidRDefault="0A3BC8CA" w:rsidP="0A3BC8CA">
            <w:pPr>
              <w:jc w:val="right"/>
            </w:pPr>
            <w:r w:rsidRPr="0A3BC8CA">
              <w:rPr>
                <w:rFonts w:ascii="Tw Cen MT" w:eastAsia="Tw Cen MT" w:hAnsi="Tw Cen MT" w:cs="Tw Cen MT"/>
                <w:color w:val="2E2B21"/>
                <w:sz w:val="28"/>
                <w:szCs w:val="28"/>
              </w:rPr>
              <w:t>10</w:t>
            </w:r>
          </w:p>
        </w:tc>
        <w:tc>
          <w:tcPr>
            <w:tcW w:w="109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75A25513" w14:textId="594A6635" w:rsidR="0A3BC8CA" w:rsidRDefault="0A3BC8CA" w:rsidP="0A3BC8CA">
            <w:pPr>
              <w:jc w:val="right"/>
            </w:pPr>
            <w:r w:rsidRPr="0A3BC8CA">
              <w:rPr>
                <w:rFonts w:ascii="Tw Cen MT" w:eastAsia="Tw Cen MT" w:hAnsi="Tw Cen MT" w:cs="Tw Cen MT"/>
                <w:color w:val="2E2B21"/>
                <w:sz w:val="28"/>
                <w:szCs w:val="28"/>
              </w:rPr>
              <w:t>36</w:t>
            </w:r>
          </w:p>
        </w:tc>
        <w:tc>
          <w:tcPr>
            <w:tcW w:w="103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5F10D6D8" w14:textId="6B52CF12" w:rsidR="0A3BC8CA" w:rsidRDefault="0A3BC8CA"/>
        </w:tc>
        <w:tc>
          <w:tcPr>
            <w:tcW w:w="92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2F5F82BD" w14:textId="6AE662D2" w:rsidR="0A3BC8CA" w:rsidRDefault="0A3BC8CA" w:rsidP="0A3BC8CA">
            <w:pPr>
              <w:jc w:val="right"/>
            </w:pPr>
            <w:r w:rsidRPr="0A3BC8CA">
              <w:rPr>
                <w:rFonts w:ascii="Tw Cen MT" w:eastAsia="Tw Cen MT" w:hAnsi="Tw Cen MT" w:cs="Tw Cen MT"/>
                <w:color w:val="2E2B21"/>
                <w:sz w:val="28"/>
                <w:szCs w:val="28"/>
              </w:rPr>
              <w:t>9</w:t>
            </w:r>
          </w:p>
        </w:tc>
        <w:tc>
          <w:tcPr>
            <w:tcW w:w="95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3AAD5D28" w14:textId="7B84086F" w:rsidR="0A3BC8CA" w:rsidRDefault="0A3BC8CA"/>
        </w:tc>
        <w:tc>
          <w:tcPr>
            <w:tcW w:w="111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6EE8E939" w14:textId="05147B3A" w:rsidR="0A3BC8CA" w:rsidRDefault="0A3BC8CA" w:rsidP="0A3BC8CA">
            <w:pPr>
              <w:jc w:val="right"/>
            </w:pPr>
            <w:r w:rsidRPr="0A3BC8CA">
              <w:rPr>
                <w:rFonts w:ascii="Tw Cen MT" w:eastAsia="Tw Cen MT" w:hAnsi="Tw Cen MT" w:cs="Tw Cen MT"/>
                <w:color w:val="2E2B21"/>
                <w:sz w:val="28"/>
                <w:szCs w:val="28"/>
              </w:rPr>
              <w:t>227</w:t>
            </w:r>
          </w:p>
        </w:tc>
      </w:tr>
      <w:tr w:rsidR="0A3BC8CA" w14:paraId="05337822" w14:textId="77777777" w:rsidTr="0A3BC8CA">
        <w:trPr>
          <w:trHeight w:val="600"/>
        </w:trPr>
        <w:tc>
          <w:tcPr>
            <w:tcW w:w="108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12C8D883" w14:textId="142A52C3" w:rsidR="0A3BC8CA" w:rsidRDefault="0A3BC8CA" w:rsidP="0A3BC8CA">
            <w:r w:rsidRPr="0A3BC8CA">
              <w:rPr>
                <w:rFonts w:ascii="Tw Cen MT" w:eastAsia="Tw Cen MT" w:hAnsi="Tw Cen MT" w:cs="Tw Cen MT"/>
                <w:b/>
                <w:bCs/>
                <w:color w:val="2E2B21"/>
                <w:sz w:val="28"/>
                <w:szCs w:val="28"/>
              </w:rPr>
              <w:t>Fall 2019</w:t>
            </w:r>
          </w:p>
        </w:tc>
        <w:tc>
          <w:tcPr>
            <w:tcW w:w="83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280B249C" w14:textId="27A0F316" w:rsidR="0A3BC8CA" w:rsidRDefault="0A3BC8CA" w:rsidP="0A3BC8CA">
            <w:pPr>
              <w:jc w:val="right"/>
            </w:pPr>
            <w:r w:rsidRPr="0A3BC8CA">
              <w:rPr>
                <w:rFonts w:ascii="Tw Cen MT" w:eastAsia="Tw Cen MT" w:hAnsi="Tw Cen MT" w:cs="Tw Cen MT"/>
                <w:color w:val="2E2B21"/>
                <w:sz w:val="28"/>
                <w:szCs w:val="28"/>
              </w:rPr>
              <w:t>96</w:t>
            </w:r>
          </w:p>
        </w:tc>
        <w:tc>
          <w:tcPr>
            <w:tcW w:w="92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41A1649C" w14:textId="35B6483C" w:rsidR="0A3BC8CA" w:rsidRDefault="0A3BC8CA" w:rsidP="0A3BC8CA">
            <w:pPr>
              <w:jc w:val="right"/>
            </w:pPr>
            <w:r w:rsidRPr="0A3BC8CA">
              <w:rPr>
                <w:rFonts w:ascii="Tw Cen MT" w:eastAsia="Tw Cen MT" w:hAnsi="Tw Cen MT" w:cs="Tw Cen MT"/>
                <w:color w:val="2E2B21"/>
                <w:sz w:val="28"/>
                <w:szCs w:val="28"/>
              </w:rPr>
              <w:t>41</w:t>
            </w:r>
          </w:p>
        </w:tc>
        <w:tc>
          <w:tcPr>
            <w:tcW w:w="79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173FEF11" w14:textId="4144DF95" w:rsidR="0A3BC8CA" w:rsidRDefault="0A3BC8CA" w:rsidP="0A3BC8CA">
            <w:pPr>
              <w:jc w:val="right"/>
            </w:pPr>
            <w:r w:rsidRPr="0A3BC8CA">
              <w:rPr>
                <w:rFonts w:ascii="Tw Cen MT" w:eastAsia="Tw Cen MT" w:hAnsi="Tw Cen MT" w:cs="Tw Cen MT"/>
                <w:color w:val="2E2B21"/>
                <w:sz w:val="28"/>
                <w:szCs w:val="28"/>
              </w:rPr>
              <w:t>24</w:t>
            </w:r>
          </w:p>
        </w:tc>
        <w:tc>
          <w:tcPr>
            <w:tcW w:w="76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155E24AD" w14:textId="32B7BC37" w:rsidR="0A3BC8CA" w:rsidRDefault="0A3BC8CA" w:rsidP="0A3BC8CA">
            <w:pPr>
              <w:jc w:val="right"/>
            </w:pPr>
            <w:r w:rsidRPr="0A3BC8CA">
              <w:rPr>
                <w:rFonts w:ascii="Tw Cen MT" w:eastAsia="Tw Cen MT" w:hAnsi="Tw Cen MT" w:cs="Tw Cen MT"/>
                <w:color w:val="2E2B21"/>
                <w:sz w:val="28"/>
                <w:szCs w:val="28"/>
              </w:rPr>
              <w:t>6</w:t>
            </w:r>
          </w:p>
        </w:tc>
        <w:tc>
          <w:tcPr>
            <w:tcW w:w="109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7102A730" w14:textId="6E507BCB" w:rsidR="0A3BC8CA" w:rsidRDefault="0A3BC8CA" w:rsidP="0A3BC8CA">
            <w:pPr>
              <w:jc w:val="right"/>
            </w:pPr>
            <w:r w:rsidRPr="0A3BC8CA">
              <w:rPr>
                <w:rFonts w:ascii="Tw Cen MT" w:eastAsia="Tw Cen MT" w:hAnsi="Tw Cen MT" w:cs="Tw Cen MT"/>
                <w:color w:val="2E2B21"/>
                <w:sz w:val="28"/>
                <w:szCs w:val="28"/>
              </w:rPr>
              <w:t>36</w:t>
            </w:r>
          </w:p>
        </w:tc>
        <w:tc>
          <w:tcPr>
            <w:tcW w:w="103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08FCC6A0" w14:textId="0C1B2020" w:rsidR="0A3BC8CA" w:rsidRDefault="0A3BC8CA"/>
        </w:tc>
        <w:tc>
          <w:tcPr>
            <w:tcW w:w="92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546E98C9" w14:textId="6151EF2C" w:rsidR="0A3BC8CA" w:rsidRDefault="0A3BC8CA" w:rsidP="0A3BC8CA">
            <w:pPr>
              <w:jc w:val="right"/>
            </w:pPr>
            <w:r w:rsidRPr="0A3BC8CA">
              <w:rPr>
                <w:rFonts w:ascii="Tw Cen MT" w:eastAsia="Tw Cen MT" w:hAnsi="Tw Cen MT" w:cs="Tw Cen MT"/>
                <w:color w:val="2E2B21"/>
                <w:sz w:val="28"/>
                <w:szCs w:val="28"/>
              </w:rPr>
              <w:t>9</w:t>
            </w:r>
          </w:p>
        </w:tc>
        <w:tc>
          <w:tcPr>
            <w:tcW w:w="95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2F094044" w14:textId="06133C62" w:rsidR="0A3BC8CA" w:rsidRDefault="0A3BC8CA"/>
        </w:tc>
        <w:tc>
          <w:tcPr>
            <w:tcW w:w="111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018E2525" w14:textId="2540CC31" w:rsidR="0A3BC8CA" w:rsidRDefault="0A3BC8CA" w:rsidP="0A3BC8CA">
            <w:pPr>
              <w:jc w:val="right"/>
            </w:pPr>
            <w:r w:rsidRPr="0A3BC8CA">
              <w:rPr>
                <w:rFonts w:ascii="Tw Cen MT" w:eastAsia="Tw Cen MT" w:hAnsi="Tw Cen MT" w:cs="Tw Cen MT"/>
                <w:color w:val="2E2B21"/>
                <w:sz w:val="28"/>
                <w:szCs w:val="28"/>
              </w:rPr>
              <w:t>212</w:t>
            </w:r>
          </w:p>
        </w:tc>
      </w:tr>
      <w:tr w:rsidR="0A3BC8CA" w14:paraId="534AB18D" w14:textId="77777777" w:rsidTr="0A3BC8CA">
        <w:trPr>
          <w:trHeight w:val="600"/>
        </w:trPr>
        <w:tc>
          <w:tcPr>
            <w:tcW w:w="108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39110398" w14:textId="5561E2D1" w:rsidR="0A3BC8CA" w:rsidRDefault="0A3BC8CA" w:rsidP="0A3BC8CA">
            <w:r w:rsidRPr="0A3BC8CA">
              <w:rPr>
                <w:rFonts w:ascii="Tw Cen MT" w:eastAsia="Tw Cen MT" w:hAnsi="Tw Cen MT" w:cs="Tw Cen MT"/>
                <w:b/>
                <w:bCs/>
                <w:color w:val="2E2B21"/>
                <w:sz w:val="28"/>
                <w:szCs w:val="28"/>
              </w:rPr>
              <w:t>Fall 2020</w:t>
            </w:r>
          </w:p>
        </w:tc>
        <w:tc>
          <w:tcPr>
            <w:tcW w:w="83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611C41C7" w14:textId="17E3E7A9" w:rsidR="0A3BC8CA" w:rsidRDefault="0A3BC8CA" w:rsidP="0A3BC8CA">
            <w:pPr>
              <w:jc w:val="right"/>
            </w:pPr>
            <w:r w:rsidRPr="0A3BC8CA">
              <w:rPr>
                <w:rFonts w:ascii="Tw Cen MT" w:eastAsia="Tw Cen MT" w:hAnsi="Tw Cen MT" w:cs="Tw Cen MT"/>
                <w:color w:val="2E2B21"/>
                <w:sz w:val="28"/>
                <w:szCs w:val="28"/>
              </w:rPr>
              <w:t>96</w:t>
            </w:r>
          </w:p>
        </w:tc>
        <w:tc>
          <w:tcPr>
            <w:tcW w:w="92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6076FBBB" w14:textId="65B362EA" w:rsidR="0A3BC8CA" w:rsidRDefault="0A3BC8CA" w:rsidP="0A3BC8CA">
            <w:pPr>
              <w:jc w:val="right"/>
            </w:pPr>
            <w:r w:rsidRPr="0A3BC8CA">
              <w:rPr>
                <w:rFonts w:ascii="Tw Cen MT" w:eastAsia="Tw Cen MT" w:hAnsi="Tw Cen MT" w:cs="Tw Cen MT"/>
                <w:color w:val="2E2B21"/>
                <w:sz w:val="28"/>
                <w:szCs w:val="28"/>
              </w:rPr>
              <w:t>34</w:t>
            </w:r>
          </w:p>
        </w:tc>
        <w:tc>
          <w:tcPr>
            <w:tcW w:w="79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71499236" w14:textId="1ACCA7EE" w:rsidR="0A3BC8CA" w:rsidRDefault="0A3BC8CA" w:rsidP="0A3BC8CA">
            <w:pPr>
              <w:jc w:val="right"/>
            </w:pPr>
            <w:r w:rsidRPr="0A3BC8CA">
              <w:rPr>
                <w:rFonts w:ascii="Tw Cen MT" w:eastAsia="Tw Cen MT" w:hAnsi="Tw Cen MT" w:cs="Tw Cen MT"/>
                <w:color w:val="2E2B21"/>
                <w:sz w:val="28"/>
                <w:szCs w:val="28"/>
              </w:rPr>
              <w:t>36</w:t>
            </w:r>
          </w:p>
        </w:tc>
        <w:tc>
          <w:tcPr>
            <w:tcW w:w="76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04109BFD" w14:textId="7460F6B5" w:rsidR="0A3BC8CA" w:rsidRDefault="0A3BC8CA" w:rsidP="0A3BC8CA">
            <w:pPr>
              <w:jc w:val="right"/>
            </w:pPr>
            <w:r w:rsidRPr="0A3BC8CA">
              <w:rPr>
                <w:rFonts w:ascii="Tw Cen MT" w:eastAsia="Tw Cen MT" w:hAnsi="Tw Cen MT" w:cs="Tw Cen MT"/>
                <w:color w:val="2E2B21"/>
                <w:sz w:val="28"/>
                <w:szCs w:val="28"/>
              </w:rPr>
              <w:t>13</w:t>
            </w:r>
          </w:p>
        </w:tc>
        <w:tc>
          <w:tcPr>
            <w:tcW w:w="109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669AE340" w14:textId="4F510C65" w:rsidR="0A3BC8CA" w:rsidRDefault="0A3BC8CA" w:rsidP="0A3BC8CA">
            <w:pPr>
              <w:jc w:val="right"/>
            </w:pPr>
            <w:r w:rsidRPr="0A3BC8CA">
              <w:rPr>
                <w:rFonts w:ascii="Tw Cen MT" w:eastAsia="Tw Cen MT" w:hAnsi="Tw Cen MT" w:cs="Tw Cen MT"/>
                <w:color w:val="2E2B21"/>
                <w:sz w:val="28"/>
                <w:szCs w:val="28"/>
              </w:rPr>
              <w:t>72</w:t>
            </w:r>
          </w:p>
        </w:tc>
        <w:tc>
          <w:tcPr>
            <w:tcW w:w="103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3E985557" w14:textId="6D8EB765" w:rsidR="0A3BC8CA" w:rsidRDefault="0A3BC8CA"/>
        </w:tc>
        <w:tc>
          <w:tcPr>
            <w:tcW w:w="92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1E7D55F9" w14:textId="65C6F966" w:rsidR="0A3BC8CA" w:rsidRDefault="0A3BC8CA" w:rsidP="0A3BC8CA">
            <w:pPr>
              <w:jc w:val="right"/>
            </w:pPr>
            <w:r w:rsidRPr="0A3BC8CA">
              <w:rPr>
                <w:rFonts w:ascii="Tw Cen MT" w:eastAsia="Tw Cen MT" w:hAnsi="Tw Cen MT" w:cs="Tw Cen MT"/>
                <w:color w:val="2E2B21"/>
                <w:sz w:val="28"/>
                <w:szCs w:val="28"/>
              </w:rPr>
              <w:t>11</w:t>
            </w:r>
          </w:p>
        </w:tc>
        <w:tc>
          <w:tcPr>
            <w:tcW w:w="95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16587BC4" w14:textId="0C75E62A" w:rsidR="0A3BC8CA" w:rsidRDefault="0A3BC8CA" w:rsidP="0A3BC8CA">
            <w:pPr>
              <w:jc w:val="right"/>
            </w:pPr>
            <w:r w:rsidRPr="0A3BC8CA">
              <w:rPr>
                <w:rFonts w:ascii="Tw Cen MT" w:eastAsia="Tw Cen MT" w:hAnsi="Tw Cen MT" w:cs="Tw Cen MT"/>
                <w:color w:val="2E2B21"/>
                <w:sz w:val="28"/>
                <w:szCs w:val="28"/>
              </w:rPr>
              <w:t>1</w:t>
            </w:r>
          </w:p>
        </w:tc>
        <w:tc>
          <w:tcPr>
            <w:tcW w:w="111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46381E7C" w14:textId="4009C9D3" w:rsidR="0A3BC8CA" w:rsidRDefault="0A3BC8CA" w:rsidP="0A3BC8CA">
            <w:pPr>
              <w:jc w:val="right"/>
            </w:pPr>
            <w:r w:rsidRPr="0A3BC8CA">
              <w:rPr>
                <w:rFonts w:ascii="Tw Cen MT" w:eastAsia="Tw Cen MT" w:hAnsi="Tw Cen MT" w:cs="Tw Cen MT"/>
                <w:color w:val="2E2B21"/>
                <w:sz w:val="28"/>
                <w:szCs w:val="28"/>
              </w:rPr>
              <w:t>263</w:t>
            </w:r>
          </w:p>
        </w:tc>
      </w:tr>
      <w:tr w:rsidR="0A3BC8CA" w14:paraId="450A179D" w14:textId="77777777" w:rsidTr="0A3BC8CA">
        <w:trPr>
          <w:trHeight w:val="600"/>
        </w:trPr>
        <w:tc>
          <w:tcPr>
            <w:tcW w:w="108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4660D6DC" w14:textId="7309D8B8" w:rsidR="0A3BC8CA" w:rsidRDefault="0A3BC8CA" w:rsidP="0A3BC8CA">
            <w:pPr>
              <w:rPr>
                <w:rFonts w:ascii="Tw Cen MT" w:eastAsia="Tw Cen MT" w:hAnsi="Tw Cen MT" w:cs="Tw Cen MT"/>
                <w:b/>
                <w:bCs/>
                <w:color w:val="2E2B21"/>
                <w:sz w:val="28"/>
                <w:szCs w:val="28"/>
              </w:rPr>
            </w:pPr>
            <w:r w:rsidRPr="0A3BC8CA">
              <w:rPr>
                <w:rFonts w:ascii="Tw Cen MT" w:eastAsia="Tw Cen MT" w:hAnsi="Tw Cen MT" w:cs="Tw Cen MT"/>
                <w:b/>
                <w:bCs/>
                <w:color w:val="2E2B21"/>
                <w:sz w:val="28"/>
                <w:szCs w:val="28"/>
              </w:rPr>
              <w:t>Fall 2021</w:t>
            </w:r>
          </w:p>
        </w:tc>
        <w:tc>
          <w:tcPr>
            <w:tcW w:w="83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381A718A" w14:textId="28ECFB86" w:rsidR="0A3BC8CA" w:rsidRDefault="0A3BC8CA" w:rsidP="0A3BC8CA">
            <w:pPr>
              <w:jc w:val="right"/>
              <w:rPr>
                <w:rFonts w:ascii="Tw Cen MT" w:eastAsia="Tw Cen MT" w:hAnsi="Tw Cen MT" w:cs="Tw Cen MT"/>
                <w:color w:val="2E2B21"/>
                <w:sz w:val="28"/>
                <w:szCs w:val="28"/>
              </w:rPr>
            </w:pPr>
            <w:r w:rsidRPr="0A3BC8CA">
              <w:rPr>
                <w:rFonts w:ascii="Tw Cen MT" w:eastAsia="Tw Cen MT" w:hAnsi="Tw Cen MT" w:cs="Tw Cen MT"/>
                <w:color w:val="2E2B21"/>
                <w:sz w:val="28"/>
                <w:szCs w:val="28"/>
              </w:rPr>
              <w:t>90</w:t>
            </w:r>
          </w:p>
        </w:tc>
        <w:tc>
          <w:tcPr>
            <w:tcW w:w="92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15B9452C" w14:textId="6D901CAA" w:rsidR="0A3BC8CA" w:rsidRDefault="0A3BC8CA" w:rsidP="0A3BC8CA">
            <w:pPr>
              <w:jc w:val="right"/>
              <w:rPr>
                <w:rFonts w:ascii="Tw Cen MT" w:eastAsia="Tw Cen MT" w:hAnsi="Tw Cen MT" w:cs="Tw Cen MT"/>
                <w:color w:val="2E2B21"/>
                <w:sz w:val="28"/>
                <w:szCs w:val="28"/>
              </w:rPr>
            </w:pPr>
            <w:r w:rsidRPr="0A3BC8CA">
              <w:rPr>
                <w:rFonts w:ascii="Tw Cen MT" w:eastAsia="Tw Cen MT" w:hAnsi="Tw Cen MT" w:cs="Tw Cen MT"/>
                <w:color w:val="2E2B21"/>
                <w:sz w:val="28"/>
                <w:szCs w:val="28"/>
              </w:rPr>
              <w:t>48</w:t>
            </w:r>
          </w:p>
        </w:tc>
        <w:tc>
          <w:tcPr>
            <w:tcW w:w="79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7C53B0D5" w14:textId="4466C640" w:rsidR="0A3BC8CA" w:rsidRDefault="0A3BC8CA" w:rsidP="0A3BC8CA">
            <w:pPr>
              <w:jc w:val="right"/>
              <w:rPr>
                <w:rFonts w:ascii="Tw Cen MT" w:eastAsia="Tw Cen MT" w:hAnsi="Tw Cen MT" w:cs="Tw Cen MT"/>
                <w:color w:val="2E2B21"/>
                <w:sz w:val="28"/>
                <w:szCs w:val="28"/>
              </w:rPr>
            </w:pPr>
            <w:r w:rsidRPr="0A3BC8CA">
              <w:rPr>
                <w:rFonts w:ascii="Tw Cen MT" w:eastAsia="Tw Cen MT" w:hAnsi="Tw Cen MT" w:cs="Tw Cen MT"/>
                <w:color w:val="2E2B21"/>
                <w:sz w:val="28"/>
                <w:szCs w:val="28"/>
              </w:rPr>
              <w:t>21</w:t>
            </w:r>
          </w:p>
        </w:tc>
        <w:tc>
          <w:tcPr>
            <w:tcW w:w="76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4978FBB7" w14:textId="5FA265BF" w:rsidR="0A3BC8CA" w:rsidRDefault="0A3BC8CA" w:rsidP="0A3BC8CA">
            <w:pPr>
              <w:jc w:val="right"/>
              <w:rPr>
                <w:rFonts w:ascii="Tw Cen MT" w:eastAsia="Tw Cen MT" w:hAnsi="Tw Cen MT" w:cs="Tw Cen MT"/>
                <w:color w:val="2E2B21"/>
                <w:sz w:val="28"/>
                <w:szCs w:val="28"/>
              </w:rPr>
            </w:pPr>
            <w:r w:rsidRPr="0A3BC8CA">
              <w:rPr>
                <w:rFonts w:ascii="Tw Cen MT" w:eastAsia="Tw Cen MT" w:hAnsi="Tw Cen MT" w:cs="Tw Cen MT"/>
                <w:color w:val="2E2B21"/>
                <w:sz w:val="28"/>
                <w:szCs w:val="28"/>
              </w:rPr>
              <w:t>13</w:t>
            </w:r>
          </w:p>
        </w:tc>
        <w:tc>
          <w:tcPr>
            <w:tcW w:w="109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42C835C3" w14:textId="5307B3BE" w:rsidR="0A3BC8CA" w:rsidRDefault="0A3BC8CA" w:rsidP="0A3BC8CA">
            <w:pPr>
              <w:jc w:val="right"/>
              <w:rPr>
                <w:rFonts w:ascii="Tw Cen MT" w:eastAsia="Tw Cen MT" w:hAnsi="Tw Cen MT" w:cs="Tw Cen MT"/>
                <w:color w:val="2E2B21"/>
                <w:sz w:val="28"/>
                <w:szCs w:val="28"/>
              </w:rPr>
            </w:pPr>
            <w:r w:rsidRPr="0A3BC8CA">
              <w:rPr>
                <w:rFonts w:ascii="Tw Cen MT" w:eastAsia="Tw Cen MT" w:hAnsi="Tw Cen MT" w:cs="Tw Cen MT"/>
                <w:color w:val="2E2B21"/>
                <w:sz w:val="28"/>
                <w:szCs w:val="28"/>
              </w:rPr>
              <w:t>78</w:t>
            </w:r>
          </w:p>
        </w:tc>
        <w:tc>
          <w:tcPr>
            <w:tcW w:w="103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23474C51" w14:textId="3A9C3F5A" w:rsidR="0A3BC8CA" w:rsidRDefault="0A3BC8CA" w:rsidP="0A3BC8CA">
            <w:pPr>
              <w:jc w:val="right"/>
              <w:rPr>
                <w:rFonts w:ascii="Tw Cen MT" w:eastAsia="Tw Cen MT" w:hAnsi="Tw Cen MT" w:cs="Tw Cen MT"/>
                <w:color w:val="2E2B21"/>
                <w:sz w:val="28"/>
                <w:szCs w:val="28"/>
              </w:rPr>
            </w:pPr>
            <w:r w:rsidRPr="0A3BC8CA">
              <w:rPr>
                <w:rFonts w:ascii="Tw Cen MT" w:eastAsia="Tw Cen MT" w:hAnsi="Tw Cen MT" w:cs="Tw Cen MT"/>
                <w:color w:val="2E2B21"/>
                <w:sz w:val="28"/>
                <w:szCs w:val="28"/>
              </w:rPr>
              <w:t>1</w:t>
            </w:r>
          </w:p>
        </w:tc>
        <w:tc>
          <w:tcPr>
            <w:tcW w:w="92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655BCFD9" w14:textId="5A713185" w:rsidR="0A3BC8CA" w:rsidRDefault="0A3BC8CA" w:rsidP="0A3BC8CA">
            <w:pPr>
              <w:jc w:val="right"/>
              <w:rPr>
                <w:rFonts w:ascii="Tw Cen MT" w:eastAsia="Tw Cen MT" w:hAnsi="Tw Cen MT" w:cs="Tw Cen MT"/>
                <w:color w:val="2E2B21"/>
                <w:sz w:val="28"/>
                <w:szCs w:val="28"/>
              </w:rPr>
            </w:pPr>
            <w:r w:rsidRPr="0A3BC8CA">
              <w:rPr>
                <w:rFonts w:ascii="Tw Cen MT" w:eastAsia="Tw Cen MT" w:hAnsi="Tw Cen MT" w:cs="Tw Cen MT"/>
                <w:color w:val="2E2B21"/>
                <w:sz w:val="28"/>
                <w:szCs w:val="28"/>
              </w:rPr>
              <w:t>7</w:t>
            </w:r>
          </w:p>
        </w:tc>
        <w:tc>
          <w:tcPr>
            <w:tcW w:w="95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6C335CAC" w14:textId="2D96E84E" w:rsidR="0A3BC8CA" w:rsidRDefault="0A3BC8CA" w:rsidP="0A3BC8CA">
            <w:pPr>
              <w:jc w:val="right"/>
              <w:rPr>
                <w:rFonts w:ascii="Tw Cen MT" w:eastAsia="Tw Cen MT" w:hAnsi="Tw Cen MT" w:cs="Tw Cen MT"/>
                <w:color w:val="2E2B21"/>
                <w:sz w:val="28"/>
                <w:szCs w:val="28"/>
              </w:rPr>
            </w:pPr>
            <w:r w:rsidRPr="0A3BC8CA">
              <w:rPr>
                <w:rFonts w:ascii="Tw Cen MT" w:eastAsia="Tw Cen MT" w:hAnsi="Tw Cen MT" w:cs="Tw Cen MT"/>
                <w:color w:val="2E2B21"/>
                <w:sz w:val="28"/>
                <w:szCs w:val="28"/>
              </w:rPr>
              <w:t>1</w:t>
            </w:r>
          </w:p>
        </w:tc>
        <w:tc>
          <w:tcPr>
            <w:tcW w:w="111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3E6916D7" w14:textId="1A59196A" w:rsidR="0A3BC8CA" w:rsidRDefault="0A3BC8CA" w:rsidP="0A3BC8CA">
            <w:pPr>
              <w:jc w:val="right"/>
              <w:rPr>
                <w:rFonts w:ascii="Tw Cen MT" w:eastAsia="Tw Cen MT" w:hAnsi="Tw Cen MT" w:cs="Tw Cen MT"/>
                <w:color w:val="2E2B21"/>
                <w:sz w:val="28"/>
                <w:szCs w:val="28"/>
              </w:rPr>
            </w:pPr>
            <w:r w:rsidRPr="0A3BC8CA">
              <w:rPr>
                <w:rFonts w:ascii="Tw Cen MT" w:eastAsia="Tw Cen MT" w:hAnsi="Tw Cen MT" w:cs="Tw Cen MT"/>
                <w:color w:val="2E2B21"/>
                <w:sz w:val="28"/>
                <w:szCs w:val="28"/>
              </w:rPr>
              <w:t>259</w:t>
            </w:r>
          </w:p>
        </w:tc>
      </w:tr>
      <w:tr w:rsidR="0A3BC8CA" w14:paraId="42E0A329" w14:textId="77777777" w:rsidTr="0A3BC8CA">
        <w:trPr>
          <w:trHeight w:val="600"/>
        </w:trPr>
        <w:tc>
          <w:tcPr>
            <w:tcW w:w="108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782213BB" w14:textId="318B4D4F" w:rsidR="0A3BC8CA" w:rsidRDefault="0A3BC8CA" w:rsidP="0A3BC8CA">
            <w:r w:rsidRPr="0A3BC8CA">
              <w:rPr>
                <w:rFonts w:ascii="Tw Cen MT" w:eastAsia="Tw Cen MT" w:hAnsi="Tw Cen MT" w:cs="Tw Cen MT"/>
                <w:b/>
                <w:bCs/>
                <w:color w:val="2E2B21"/>
                <w:sz w:val="28"/>
                <w:szCs w:val="28"/>
              </w:rPr>
              <w:t>Spring 2019</w:t>
            </w:r>
          </w:p>
        </w:tc>
        <w:tc>
          <w:tcPr>
            <w:tcW w:w="83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556FA65D" w14:textId="17001E92" w:rsidR="0A3BC8CA" w:rsidRDefault="0A3BC8CA" w:rsidP="0A3BC8CA">
            <w:pPr>
              <w:jc w:val="right"/>
            </w:pPr>
            <w:r w:rsidRPr="0A3BC8CA">
              <w:rPr>
                <w:rFonts w:ascii="Tw Cen MT" w:eastAsia="Tw Cen MT" w:hAnsi="Tw Cen MT" w:cs="Tw Cen MT"/>
                <w:color w:val="2E2B21"/>
                <w:sz w:val="28"/>
                <w:szCs w:val="28"/>
              </w:rPr>
              <w:t>90</w:t>
            </w:r>
          </w:p>
        </w:tc>
        <w:tc>
          <w:tcPr>
            <w:tcW w:w="92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312684B1" w14:textId="037C6232" w:rsidR="0A3BC8CA" w:rsidRDefault="0A3BC8CA" w:rsidP="0A3BC8CA">
            <w:pPr>
              <w:jc w:val="right"/>
            </w:pPr>
            <w:r w:rsidRPr="0A3BC8CA">
              <w:rPr>
                <w:rFonts w:ascii="Tw Cen MT" w:eastAsia="Tw Cen MT" w:hAnsi="Tw Cen MT" w:cs="Tw Cen MT"/>
                <w:color w:val="2E2B21"/>
                <w:sz w:val="28"/>
                <w:szCs w:val="28"/>
              </w:rPr>
              <w:t>21</w:t>
            </w:r>
          </w:p>
        </w:tc>
        <w:tc>
          <w:tcPr>
            <w:tcW w:w="79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1F8F921B" w14:textId="6326CD93" w:rsidR="0A3BC8CA" w:rsidRDefault="0A3BC8CA" w:rsidP="0A3BC8CA">
            <w:pPr>
              <w:jc w:val="right"/>
            </w:pPr>
            <w:r w:rsidRPr="0A3BC8CA">
              <w:rPr>
                <w:rFonts w:ascii="Tw Cen MT" w:eastAsia="Tw Cen MT" w:hAnsi="Tw Cen MT" w:cs="Tw Cen MT"/>
                <w:color w:val="2E2B21"/>
                <w:sz w:val="28"/>
                <w:szCs w:val="28"/>
              </w:rPr>
              <w:t>17</w:t>
            </w:r>
          </w:p>
        </w:tc>
        <w:tc>
          <w:tcPr>
            <w:tcW w:w="76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3402996D" w14:textId="6DEAAB5A" w:rsidR="0A3BC8CA" w:rsidRDefault="0A3BC8CA" w:rsidP="0A3BC8CA">
            <w:pPr>
              <w:jc w:val="right"/>
            </w:pPr>
            <w:r w:rsidRPr="0A3BC8CA">
              <w:rPr>
                <w:rFonts w:ascii="Tw Cen MT" w:eastAsia="Tw Cen MT" w:hAnsi="Tw Cen MT" w:cs="Tw Cen MT"/>
                <w:color w:val="2E2B21"/>
                <w:sz w:val="28"/>
                <w:szCs w:val="28"/>
              </w:rPr>
              <w:t>6</w:t>
            </w:r>
          </w:p>
        </w:tc>
        <w:tc>
          <w:tcPr>
            <w:tcW w:w="109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5D9DEC9E" w14:textId="11B8AB26" w:rsidR="0A3BC8CA" w:rsidRDefault="0A3BC8CA" w:rsidP="0A3BC8CA">
            <w:pPr>
              <w:jc w:val="right"/>
            </w:pPr>
            <w:r w:rsidRPr="0A3BC8CA">
              <w:rPr>
                <w:rFonts w:ascii="Tw Cen MT" w:eastAsia="Tw Cen MT" w:hAnsi="Tw Cen MT" w:cs="Tw Cen MT"/>
                <w:color w:val="2E2B21"/>
                <w:sz w:val="28"/>
                <w:szCs w:val="28"/>
              </w:rPr>
              <w:t>15</w:t>
            </w:r>
          </w:p>
        </w:tc>
        <w:tc>
          <w:tcPr>
            <w:tcW w:w="103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39965310" w14:textId="5F6F9961" w:rsidR="0A3BC8CA" w:rsidRDefault="0A3BC8CA" w:rsidP="0A3BC8CA">
            <w:pPr>
              <w:jc w:val="right"/>
            </w:pPr>
            <w:r w:rsidRPr="0A3BC8CA">
              <w:rPr>
                <w:rFonts w:ascii="Tw Cen MT" w:eastAsia="Tw Cen MT" w:hAnsi="Tw Cen MT" w:cs="Tw Cen MT"/>
                <w:color w:val="2E2B21"/>
                <w:sz w:val="28"/>
                <w:szCs w:val="28"/>
              </w:rPr>
              <w:t>1</w:t>
            </w:r>
          </w:p>
        </w:tc>
        <w:tc>
          <w:tcPr>
            <w:tcW w:w="92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4810D299" w14:textId="76203F37" w:rsidR="0A3BC8CA" w:rsidRDefault="0A3BC8CA" w:rsidP="0A3BC8CA">
            <w:pPr>
              <w:jc w:val="right"/>
            </w:pPr>
            <w:r w:rsidRPr="0A3BC8CA">
              <w:rPr>
                <w:rFonts w:ascii="Tw Cen MT" w:eastAsia="Tw Cen MT" w:hAnsi="Tw Cen MT" w:cs="Tw Cen MT"/>
                <w:color w:val="2E2B21"/>
                <w:sz w:val="28"/>
                <w:szCs w:val="28"/>
              </w:rPr>
              <w:t>5</w:t>
            </w:r>
          </w:p>
        </w:tc>
        <w:tc>
          <w:tcPr>
            <w:tcW w:w="95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46195CD2" w14:textId="1CC59DC4" w:rsidR="0A3BC8CA" w:rsidRDefault="0A3BC8CA"/>
        </w:tc>
        <w:tc>
          <w:tcPr>
            <w:tcW w:w="111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10D2984A" w14:textId="76696A9A" w:rsidR="0A3BC8CA" w:rsidRDefault="0A3BC8CA" w:rsidP="0A3BC8CA">
            <w:pPr>
              <w:jc w:val="right"/>
            </w:pPr>
            <w:r w:rsidRPr="0A3BC8CA">
              <w:rPr>
                <w:rFonts w:ascii="Tw Cen MT" w:eastAsia="Tw Cen MT" w:hAnsi="Tw Cen MT" w:cs="Tw Cen MT"/>
                <w:color w:val="2E2B21"/>
                <w:sz w:val="28"/>
                <w:szCs w:val="28"/>
              </w:rPr>
              <w:t>155</w:t>
            </w:r>
          </w:p>
        </w:tc>
      </w:tr>
      <w:tr w:rsidR="0A3BC8CA" w14:paraId="13B6F205" w14:textId="77777777" w:rsidTr="0A3BC8CA">
        <w:trPr>
          <w:trHeight w:val="600"/>
        </w:trPr>
        <w:tc>
          <w:tcPr>
            <w:tcW w:w="108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4E859AD4" w14:textId="099A3686" w:rsidR="0A3BC8CA" w:rsidRDefault="0A3BC8CA" w:rsidP="0A3BC8CA">
            <w:r w:rsidRPr="0A3BC8CA">
              <w:rPr>
                <w:rFonts w:ascii="Tw Cen MT" w:eastAsia="Tw Cen MT" w:hAnsi="Tw Cen MT" w:cs="Tw Cen MT"/>
                <w:b/>
                <w:bCs/>
                <w:color w:val="2E2B21"/>
                <w:sz w:val="28"/>
                <w:szCs w:val="28"/>
              </w:rPr>
              <w:t>Spring 2020</w:t>
            </w:r>
          </w:p>
        </w:tc>
        <w:tc>
          <w:tcPr>
            <w:tcW w:w="83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101AAA63" w14:textId="1C64CA37" w:rsidR="0A3BC8CA" w:rsidRDefault="0A3BC8CA" w:rsidP="0A3BC8CA">
            <w:pPr>
              <w:spacing w:line="259" w:lineRule="auto"/>
              <w:jc w:val="right"/>
              <w:rPr>
                <w:rFonts w:ascii="Tw Cen MT" w:eastAsia="Tw Cen MT" w:hAnsi="Tw Cen MT" w:cs="Tw Cen MT"/>
                <w:color w:val="2E2B21"/>
                <w:sz w:val="28"/>
                <w:szCs w:val="28"/>
              </w:rPr>
            </w:pPr>
            <w:r w:rsidRPr="0A3BC8CA">
              <w:rPr>
                <w:rFonts w:ascii="Tw Cen MT" w:eastAsia="Tw Cen MT" w:hAnsi="Tw Cen MT" w:cs="Tw Cen MT"/>
                <w:color w:val="2E2B21"/>
                <w:sz w:val="28"/>
                <w:szCs w:val="28"/>
              </w:rPr>
              <w:t>36</w:t>
            </w:r>
          </w:p>
        </w:tc>
        <w:tc>
          <w:tcPr>
            <w:tcW w:w="92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6FE2174D" w14:textId="3FECFF1A" w:rsidR="0A3BC8CA" w:rsidRDefault="0A3BC8CA" w:rsidP="0A3BC8CA">
            <w:pPr>
              <w:jc w:val="right"/>
            </w:pPr>
            <w:r w:rsidRPr="0A3BC8CA">
              <w:rPr>
                <w:rFonts w:ascii="Tw Cen MT" w:eastAsia="Tw Cen MT" w:hAnsi="Tw Cen MT" w:cs="Tw Cen MT"/>
                <w:color w:val="2E2B21"/>
                <w:sz w:val="28"/>
                <w:szCs w:val="28"/>
              </w:rPr>
              <w:t>14</w:t>
            </w:r>
          </w:p>
        </w:tc>
        <w:tc>
          <w:tcPr>
            <w:tcW w:w="79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77E184F4" w14:textId="0D0D8955" w:rsidR="0A3BC8CA" w:rsidRDefault="0A3BC8CA" w:rsidP="0A3BC8CA">
            <w:pPr>
              <w:jc w:val="right"/>
              <w:rPr>
                <w:rFonts w:ascii="Tw Cen MT" w:eastAsia="Tw Cen MT" w:hAnsi="Tw Cen MT" w:cs="Tw Cen MT"/>
                <w:color w:val="2E2B21"/>
                <w:sz w:val="28"/>
                <w:szCs w:val="28"/>
              </w:rPr>
            </w:pPr>
            <w:r w:rsidRPr="0A3BC8CA">
              <w:rPr>
                <w:rFonts w:ascii="Tw Cen MT" w:eastAsia="Tw Cen MT" w:hAnsi="Tw Cen MT" w:cs="Tw Cen MT"/>
                <w:color w:val="2E2B21"/>
                <w:sz w:val="28"/>
                <w:szCs w:val="28"/>
              </w:rPr>
              <w:t>8</w:t>
            </w:r>
          </w:p>
        </w:tc>
        <w:tc>
          <w:tcPr>
            <w:tcW w:w="76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7AD4FD5E" w14:textId="12AA34EF" w:rsidR="0A3BC8CA" w:rsidRDefault="0A3BC8CA" w:rsidP="0A3BC8CA">
            <w:pPr>
              <w:jc w:val="right"/>
            </w:pPr>
            <w:r w:rsidRPr="0A3BC8CA">
              <w:rPr>
                <w:rFonts w:ascii="Tw Cen MT" w:eastAsia="Tw Cen MT" w:hAnsi="Tw Cen MT" w:cs="Tw Cen MT"/>
                <w:color w:val="2E2B21"/>
                <w:sz w:val="28"/>
                <w:szCs w:val="28"/>
              </w:rPr>
              <w:t>4</w:t>
            </w:r>
          </w:p>
        </w:tc>
        <w:tc>
          <w:tcPr>
            <w:tcW w:w="109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0B42C392" w14:textId="2AEEE0C8" w:rsidR="0A3BC8CA" w:rsidRDefault="0A3BC8CA" w:rsidP="0A3BC8CA">
            <w:pPr>
              <w:jc w:val="right"/>
              <w:rPr>
                <w:rFonts w:ascii="Tw Cen MT" w:eastAsia="Tw Cen MT" w:hAnsi="Tw Cen MT" w:cs="Tw Cen MT"/>
                <w:color w:val="2E2B21"/>
                <w:sz w:val="28"/>
                <w:szCs w:val="28"/>
              </w:rPr>
            </w:pPr>
            <w:r w:rsidRPr="0A3BC8CA">
              <w:rPr>
                <w:rFonts w:ascii="Tw Cen MT" w:eastAsia="Tw Cen MT" w:hAnsi="Tw Cen MT" w:cs="Tw Cen MT"/>
                <w:color w:val="2E2B21"/>
                <w:sz w:val="28"/>
                <w:szCs w:val="28"/>
              </w:rPr>
              <w:t>36</w:t>
            </w:r>
          </w:p>
        </w:tc>
        <w:tc>
          <w:tcPr>
            <w:tcW w:w="103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7839760A" w14:textId="58E36917" w:rsidR="0A3BC8CA" w:rsidRDefault="0A3BC8CA"/>
        </w:tc>
        <w:tc>
          <w:tcPr>
            <w:tcW w:w="92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54271CC7" w14:textId="39FD62E6" w:rsidR="0A3BC8CA" w:rsidRDefault="0A3BC8CA" w:rsidP="0A3BC8CA">
            <w:pPr>
              <w:jc w:val="right"/>
            </w:pPr>
            <w:r w:rsidRPr="0A3BC8CA">
              <w:rPr>
                <w:rFonts w:ascii="Tw Cen MT" w:eastAsia="Tw Cen MT" w:hAnsi="Tw Cen MT" w:cs="Tw Cen MT"/>
                <w:color w:val="2E2B21"/>
                <w:sz w:val="28"/>
                <w:szCs w:val="28"/>
              </w:rPr>
              <w:t>8</w:t>
            </w:r>
          </w:p>
        </w:tc>
        <w:tc>
          <w:tcPr>
            <w:tcW w:w="95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47C87579" w14:textId="10F411E2" w:rsidR="0A3BC8CA" w:rsidRDefault="0A3BC8CA"/>
        </w:tc>
        <w:tc>
          <w:tcPr>
            <w:tcW w:w="111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4C024E76" w14:textId="781CF68F" w:rsidR="0A3BC8CA" w:rsidRDefault="0A3BC8CA" w:rsidP="0A3BC8CA">
            <w:pPr>
              <w:jc w:val="right"/>
            </w:pPr>
            <w:r w:rsidRPr="0A3BC8CA">
              <w:rPr>
                <w:rFonts w:ascii="Tw Cen MT" w:eastAsia="Tw Cen MT" w:hAnsi="Tw Cen MT" w:cs="Tw Cen MT"/>
                <w:color w:val="2E2B21"/>
                <w:sz w:val="28"/>
                <w:szCs w:val="28"/>
              </w:rPr>
              <w:t>106</w:t>
            </w:r>
          </w:p>
        </w:tc>
      </w:tr>
      <w:tr w:rsidR="0A3BC8CA" w14:paraId="0F7E4EBD" w14:textId="77777777" w:rsidTr="0A3BC8CA">
        <w:trPr>
          <w:trHeight w:val="600"/>
        </w:trPr>
        <w:tc>
          <w:tcPr>
            <w:tcW w:w="108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6D47C359" w14:textId="5942F6BD" w:rsidR="0A3BC8CA" w:rsidRDefault="0A3BC8CA" w:rsidP="0A3BC8CA">
            <w:r w:rsidRPr="0A3BC8CA">
              <w:rPr>
                <w:rFonts w:ascii="Tw Cen MT" w:eastAsia="Tw Cen MT" w:hAnsi="Tw Cen MT" w:cs="Tw Cen MT"/>
                <w:b/>
                <w:bCs/>
                <w:color w:val="2E2B21"/>
                <w:sz w:val="28"/>
                <w:szCs w:val="28"/>
              </w:rPr>
              <w:t>Spring 2021</w:t>
            </w:r>
          </w:p>
        </w:tc>
        <w:tc>
          <w:tcPr>
            <w:tcW w:w="83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577D1E82" w14:textId="3C84CD89" w:rsidR="0A3BC8CA" w:rsidRDefault="0A3BC8CA" w:rsidP="0A3BC8CA">
            <w:pPr>
              <w:jc w:val="right"/>
            </w:pPr>
            <w:r w:rsidRPr="0A3BC8CA">
              <w:rPr>
                <w:rFonts w:ascii="Tw Cen MT" w:eastAsia="Tw Cen MT" w:hAnsi="Tw Cen MT" w:cs="Tw Cen MT"/>
                <w:color w:val="2E2B21"/>
                <w:sz w:val="28"/>
                <w:szCs w:val="28"/>
              </w:rPr>
              <w:t>20</w:t>
            </w:r>
          </w:p>
        </w:tc>
        <w:tc>
          <w:tcPr>
            <w:tcW w:w="92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70186239" w14:textId="047D2007" w:rsidR="0A3BC8CA" w:rsidRDefault="0A3BC8CA" w:rsidP="0A3BC8CA">
            <w:pPr>
              <w:jc w:val="right"/>
              <w:rPr>
                <w:rFonts w:ascii="Tw Cen MT" w:eastAsia="Tw Cen MT" w:hAnsi="Tw Cen MT" w:cs="Tw Cen MT"/>
                <w:color w:val="2E2B21"/>
                <w:sz w:val="28"/>
                <w:szCs w:val="28"/>
              </w:rPr>
            </w:pPr>
            <w:r w:rsidRPr="0A3BC8CA">
              <w:rPr>
                <w:rFonts w:ascii="Tw Cen MT" w:eastAsia="Tw Cen MT" w:hAnsi="Tw Cen MT" w:cs="Tw Cen MT"/>
                <w:color w:val="2E2B21"/>
                <w:sz w:val="28"/>
                <w:szCs w:val="28"/>
              </w:rPr>
              <w:t>7</w:t>
            </w:r>
          </w:p>
        </w:tc>
        <w:tc>
          <w:tcPr>
            <w:tcW w:w="79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76B7D2D3" w14:textId="16964BBD" w:rsidR="0A3BC8CA" w:rsidRDefault="0A3BC8CA" w:rsidP="0A3BC8CA">
            <w:pPr>
              <w:jc w:val="right"/>
            </w:pPr>
            <w:r w:rsidRPr="0A3BC8CA">
              <w:rPr>
                <w:rFonts w:ascii="Tw Cen MT" w:eastAsia="Tw Cen MT" w:hAnsi="Tw Cen MT" w:cs="Tw Cen MT"/>
                <w:color w:val="2E2B21"/>
                <w:sz w:val="28"/>
                <w:szCs w:val="28"/>
              </w:rPr>
              <w:t>9</w:t>
            </w:r>
          </w:p>
        </w:tc>
        <w:tc>
          <w:tcPr>
            <w:tcW w:w="76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2DA92C6E" w14:textId="4FAB72CB" w:rsidR="0A3BC8CA" w:rsidRDefault="0A3BC8CA" w:rsidP="0A3BC8CA">
            <w:pPr>
              <w:jc w:val="right"/>
              <w:rPr>
                <w:rFonts w:ascii="Tw Cen MT" w:eastAsia="Tw Cen MT" w:hAnsi="Tw Cen MT" w:cs="Tw Cen MT"/>
                <w:color w:val="2E2B21"/>
                <w:sz w:val="28"/>
                <w:szCs w:val="28"/>
              </w:rPr>
            </w:pPr>
            <w:r w:rsidRPr="0A3BC8CA">
              <w:rPr>
                <w:rFonts w:ascii="Tw Cen MT" w:eastAsia="Tw Cen MT" w:hAnsi="Tw Cen MT" w:cs="Tw Cen MT"/>
                <w:color w:val="2E2B21"/>
                <w:sz w:val="28"/>
                <w:szCs w:val="28"/>
              </w:rPr>
              <w:t>5</w:t>
            </w:r>
          </w:p>
        </w:tc>
        <w:tc>
          <w:tcPr>
            <w:tcW w:w="109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4217E808" w14:textId="1007632B" w:rsidR="0A3BC8CA" w:rsidRDefault="0A3BC8CA" w:rsidP="0A3BC8CA">
            <w:pPr>
              <w:jc w:val="right"/>
            </w:pPr>
            <w:r w:rsidRPr="0A3BC8CA">
              <w:rPr>
                <w:rFonts w:ascii="Tw Cen MT" w:eastAsia="Tw Cen MT" w:hAnsi="Tw Cen MT" w:cs="Tw Cen MT"/>
                <w:color w:val="2E2B21"/>
                <w:sz w:val="28"/>
                <w:szCs w:val="28"/>
              </w:rPr>
              <w:t>23</w:t>
            </w:r>
          </w:p>
        </w:tc>
        <w:tc>
          <w:tcPr>
            <w:tcW w:w="103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504D03AB" w14:textId="59E36300" w:rsidR="0A3BC8CA" w:rsidRDefault="0A3BC8CA"/>
        </w:tc>
        <w:tc>
          <w:tcPr>
            <w:tcW w:w="92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4E0816E3" w14:textId="1E9FE45A" w:rsidR="0A3BC8CA" w:rsidRDefault="0A3BC8CA" w:rsidP="0A3BC8CA">
            <w:pPr>
              <w:jc w:val="right"/>
            </w:pPr>
            <w:r w:rsidRPr="0A3BC8CA">
              <w:rPr>
                <w:rFonts w:ascii="Tw Cen MT" w:eastAsia="Tw Cen MT" w:hAnsi="Tw Cen MT" w:cs="Tw Cen MT"/>
                <w:color w:val="2E2B21"/>
                <w:sz w:val="28"/>
                <w:szCs w:val="28"/>
              </w:rPr>
              <w:t>1</w:t>
            </w:r>
          </w:p>
        </w:tc>
        <w:tc>
          <w:tcPr>
            <w:tcW w:w="95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002E4D35" w14:textId="593A48B9" w:rsidR="0A3BC8CA" w:rsidRDefault="0A3BC8CA"/>
        </w:tc>
        <w:tc>
          <w:tcPr>
            <w:tcW w:w="111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1F0EC"/>
            <w:vAlign w:val="bottom"/>
          </w:tcPr>
          <w:p w14:paraId="39C283E5" w14:textId="6FBA19A1" w:rsidR="0A3BC8CA" w:rsidRDefault="0A3BC8CA" w:rsidP="0A3BC8CA">
            <w:pPr>
              <w:jc w:val="right"/>
            </w:pPr>
            <w:r w:rsidRPr="0A3BC8CA">
              <w:rPr>
                <w:rFonts w:ascii="Tw Cen MT" w:eastAsia="Tw Cen MT" w:hAnsi="Tw Cen MT" w:cs="Tw Cen MT"/>
                <w:color w:val="2E2B21"/>
                <w:sz w:val="28"/>
                <w:szCs w:val="28"/>
              </w:rPr>
              <w:t>65</w:t>
            </w:r>
          </w:p>
        </w:tc>
      </w:tr>
      <w:tr w:rsidR="0A3BC8CA" w14:paraId="639F3C2D" w14:textId="77777777" w:rsidTr="0A3BC8CA">
        <w:trPr>
          <w:trHeight w:val="600"/>
        </w:trPr>
        <w:tc>
          <w:tcPr>
            <w:tcW w:w="108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FF2CC" w:themeFill="accent4" w:themeFillTint="33"/>
            <w:vAlign w:val="bottom"/>
          </w:tcPr>
          <w:p w14:paraId="00AD574A" w14:textId="08D452DC" w:rsidR="0A3BC8CA" w:rsidRDefault="0A3BC8CA" w:rsidP="0A3BC8CA">
            <w:pPr>
              <w:rPr>
                <w:rFonts w:ascii="Tw Cen MT" w:eastAsia="Tw Cen MT" w:hAnsi="Tw Cen MT" w:cs="Tw Cen MT"/>
                <w:b/>
                <w:bCs/>
                <w:color w:val="2E2B21"/>
                <w:sz w:val="28"/>
                <w:szCs w:val="28"/>
              </w:rPr>
            </w:pPr>
            <w:r w:rsidRPr="0A3BC8CA">
              <w:rPr>
                <w:rFonts w:ascii="Tw Cen MT" w:eastAsia="Tw Cen MT" w:hAnsi="Tw Cen MT" w:cs="Tw Cen MT"/>
                <w:b/>
                <w:bCs/>
                <w:color w:val="2E2B21"/>
                <w:sz w:val="28"/>
                <w:szCs w:val="28"/>
              </w:rPr>
              <w:t>Spring 2022</w:t>
            </w:r>
          </w:p>
        </w:tc>
        <w:tc>
          <w:tcPr>
            <w:tcW w:w="83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FF2CC" w:themeFill="accent4" w:themeFillTint="33"/>
            <w:vAlign w:val="bottom"/>
          </w:tcPr>
          <w:p w14:paraId="05FA406A" w14:textId="04B3B101" w:rsidR="0A3BC8CA" w:rsidRDefault="0A3BC8CA" w:rsidP="0A3BC8CA">
            <w:pPr>
              <w:jc w:val="right"/>
              <w:rPr>
                <w:rFonts w:ascii="Tw Cen MT" w:eastAsia="Tw Cen MT" w:hAnsi="Tw Cen MT" w:cs="Tw Cen MT"/>
                <w:color w:val="2E2B21"/>
                <w:sz w:val="28"/>
                <w:szCs w:val="28"/>
              </w:rPr>
            </w:pPr>
            <w:r w:rsidRPr="0A3BC8CA">
              <w:rPr>
                <w:rFonts w:ascii="Tw Cen MT" w:eastAsia="Tw Cen MT" w:hAnsi="Tw Cen MT" w:cs="Tw Cen MT"/>
                <w:color w:val="2E2B21"/>
                <w:sz w:val="28"/>
                <w:szCs w:val="28"/>
              </w:rPr>
              <w:t>11</w:t>
            </w:r>
          </w:p>
        </w:tc>
        <w:tc>
          <w:tcPr>
            <w:tcW w:w="92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FF2CC" w:themeFill="accent4" w:themeFillTint="33"/>
            <w:vAlign w:val="bottom"/>
          </w:tcPr>
          <w:p w14:paraId="722B1882" w14:textId="5751991D" w:rsidR="0A3BC8CA" w:rsidRDefault="0A3BC8CA" w:rsidP="0A3BC8CA">
            <w:pPr>
              <w:jc w:val="right"/>
              <w:rPr>
                <w:rFonts w:ascii="Tw Cen MT" w:eastAsia="Tw Cen MT" w:hAnsi="Tw Cen MT" w:cs="Tw Cen MT"/>
                <w:color w:val="2E2B21"/>
                <w:sz w:val="28"/>
                <w:szCs w:val="28"/>
              </w:rPr>
            </w:pPr>
            <w:r w:rsidRPr="0A3BC8CA">
              <w:rPr>
                <w:rFonts w:ascii="Tw Cen MT" w:eastAsia="Tw Cen MT" w:hAnsi="Tw Cen MT" w:cs="Tw Cen MT"/>
                <w:color w:val="2E2B21"/>
                <w:sz w:val="28"/>
                <w:szCs w:val="28"/>
              </w:rPr>
              <w:t>3</w:t>
            </w:r>
          </w:p>
        </w:tc>
        <w:tc>
          <w:tcPr>
            <w:tcW w:w="79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FF2CC" w:themeFill="accent4" w:themeFillTint="33"/>
            <w:vAlign w:val="bottom"/>
          </w:tcPr>
          <w:p w14:paraId="43BF714E" w14:textId="4ECCDB8C" w:rsidR="0A3BC8CA" w:rsidRDefault="0A3BC8CA" w:rsidP="0A3BC8CA">
            <w:pPr>
              <w:jc w:val="right"/>
              <w:rPr>
                <w:rFonts w:ascii="Tw Cen MT" w:eastAsia="Tw Cen MT" w:hAnsi="Tw Cen MT" w:cs="Tw Cen MT"/>
                <w:color w:val="2E2B21"/>
                <w:sz w:val="28"/>
                <w:szCs w:val="28"/>
              </w:rPr>
            </w:pPr>
            <w:r w:rsidRPr="0A3BC8CA">
              <w:rPr>
                <w:rFonts w:ascii="Tw Cen MT" w:eastAsia="Tw Cen MT" w:hAnsi="Tw Cen MT" w:cs="Tw Cen MT"/>
                <w:color w:val="2E2B21"/>
                <w:sz w:val="28"/>
                <w:szCs w:val="28"/>
              </w:rPr>
              <w:t>3</w:t>
            </w:r>
          </w:p>
        </w:tc>
        <w:tc>
          <w:tcPr>
            <w:tcW w:w="761"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FF2CC" w:themeFill="accent4" w:themeFillTint="33"/>
            <w:vAlign w:val="bottom"/>
          </w:tcPr>
          <w:p w14:paraId="4B9B921F" w14:textId="24913D5B" w:rsidR="0A3BC8CA" w:rsidRDefault="0A3BC8CA" w:rsidP="0A3BC8CA">
            <w:pPr>
              <w:jc w:val="right"/>
              <w:rPr>
                <w:rFonts w:ascii="Tw Cen MT" w:eastAsia="Tw Cen MT" w:hAnsi="Tw Cen MT" w:cs="Tw Cen MT"/>
                <w:color w:val="2E2B21"/>
                <w:sz w:val="28"/>
                <w:szCs w:val="28"/>
              </w:rPr>
            </w:pPr>
            <w:r w:rsidRPr="0A3BC8CA">
              <w:rPr>
                <w:rFonts w:ascii="Tw Cen MT" w:eastAsia="Tw Cen MT" w:hAnsi="Tw Cen MT" w:cs="Tw Cen MT"/>
                <w:color w:val="2E2B21"/>
                <w:sz w:val="28"/>
                <w:szCs w:val="28"/>
              </w:rPr>
              <w:t>4</w:t>
            </w:r>
          </w:p>
        </w:tc>
        <w:tc>
          <w:tcPr>
            <w:tcW w:w="109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FF2CC" w:themeFill="accent4" w:themeFillTint="33"/>
            <w:vAlign w:val="bottom"/>
          </w:tcPr>
          <w:p w14:paraId="2711F346" w14:textId="7BB703CE" w:rsidR="0A3BC8CA" w:rsidRDefault="0A3BC8CA" w:rsidP="0A3BC8CA">
            <w:pPr>
              <w:jc w:val="right"/>
              <w:rPr>
                <w:rFonts w:ascii="Tw Cen MT" w:eastAsia="Tw Cen MT" w:hAnsi="Tw Cen MT" w:cs="Tw Cen MT"/>
                <w:color w:val="2E2B21"/>
                <w:sz w:val="28"/>
                <w:szCs w:val="28"/>
              </w:rPr>
            </w:pPr>
            <w:r w:rsidRPr="0A3BC8CA">
              <w:rPr>
                <w:rFonts w:ascii="Tw Cen MT" w:eastAsia="Tw Cen MT" w:hAnsi="Tw Cen MT" w:cs="Tw Cen MT"/>
                <w:color w:val="2E2B21"/>
                <w:sz w:val="28"/>
                <w:szCs w:val="28"/>
              </w:rPr>
              <w:t>10</w:t>
            </w:r>
          </w:p>
        </w:tc>
        <w:tc>
          <w:tcPr>
            <w:tcW w:w="103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FF2CC" w:themeFill="accent4" w:themeFillTint="33"/>
            <w:vAlign w:val="bottom"/>
          </w:tcPr>
          <w:p w14:paraId="3791FD25" w14:textId="1585CC78" w:rsidR="0A3BC8CA" w:rsidRDefault="0A3BC8CA" w:rsidP="0A3BC8CA"/>
        </w:tc>
        <w:tc>
          <w:tcPr>
            <w:tcW w:w="92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FF2CC" w:themeFill="accent4" w:themeFillTint="33"/>
            <w:vAlign w:val="bottom"/>
          </w:tcPr>
          <w:p w14:paraId="6437DB82" w14:textId="1FA00297" w:rsidR="0A3BC8CA" w:rsidRDefault="0A3BC8CA" w:rsidP="0A3BC8CA">
            <w:pPr>
              <w:jc w:val="right"/>
              <w:rPr>
                <w:rFonts w:ascii="Tw Cen MT" w:eastAsia="Tw Cen MT" w:hAnsi="Tw Cen MT" w:cs="Tw Cen MT"/>
                <w:color w:val="2E2B21"/>
                <w:sz w:val="28"/>
                <w:szCs w:val="28"/>
              </w:rPr>
            </w:pPr>
          </w:p>
        </w:tc>
        <w:tc>
          <w:tcPr>
            <w:tcW w:w="95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FF2CC" w:themeFill="accent4" w:themeFillTint="33"/>
            <w:vAlign w:val="bottom"/>
          </w:tcPr>
          <w:p w14:paraId="762C2C98" w14:textId="7DA28D25" w:rsidR="0A3BC8CA" w:rsidRDefault="0A3BC8CA" w:rsidP="0A3BC8CA">
            <w:pPr>
              <w:jc w:val="right"/>
              <w:rPr>
                <w:rFonts w:ascii="Tw Cen MT" w:eastAsia="Tw Cen MT" w:hAnsi="Tw Cen MT" w:cs="Tw Cen MT"/>
                <w:color w:val="2E2B21"/>
                <w:sz w:val="28"/>
                <w:szCs w:val="28"/>
              </w:rPr>
            </w:pPr>
            <w:r w:rsidRPr="0A3BC8CA">
              <w:rPr>
                <w:rFonts w:ascii="Tw Cen MT" w:eastAsia="Tw Cen MT" w:hAnsi="Tw Cen MT" w:cs="Tw Cen MT"/>
                <w:color w:val="2E2B21"/>
                <w:sz w:val="28"/>
                <w:szCs w:val="28"/>
              </w:rPr>
              <w:t>1</w:t>
            </w:r>
          </w:p>
        </w:tc>
        <w:tc>
          <w:tcPr>
            <w:tcW w:w="111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FF2CC" w:themeFill="accent4" w:themeFillTint="33"/>
            <w:vAlign w:val="bottom"/>
          </w:tcPr>
          <w:p w14:paraId="412E9777" w14:textId="12D92DC5" w:rsidR="0A3BC8CA" w:rsidRDefault="0A3BC8CA" w:rsidP="0A3BC8CA">
            <w:pPr>
              <w:jc w:val="right"/>
              <w:rPr>
                <w:rFonts w:ascii="Tw Cen MT" w:eastAsia="Tw Cen MT" w:hAnsi="Tw Cen MT" w:cs="Tw Cen MT"/>
                <w:color w:val="2E2B21"/>
                <w:sz w:val="28"/>
                <w:szCs w:val="28"/>
              </w:rPr>
            </w:pPr>
            <w:r w:rsidRPr="0A3BC8CA">
              <w:rPr>
                <w:rFonts w:ascii="Tw Cen MT" w:eastAsia="Tw Cen MT" w:hAnsi="Tw Cen MT" w:cs="Tw Cen MT"/>
                <w:color w:val="2E2B21"/>
                <w:sz w:val="28"/>
                <w:szCs w:val="28"/>
              </w:rPr>
              <w:t>32</w:t>
            </w:r>
          </w:p>
        </w:tc>
      </w:tr>
    </w:tbl>
    <w:p w14:paraId="72DE6982" w14:textId="0B6BA9D8" w:rsidR="6150DB48" w:rsidRDefault="6150DB48" w:rsidP="0A3BC8CA"/>
    <w:p w14:paraId="26D89B25" w14:textId="1D7DFFB1" w:rsidR="6150DB48" w:rsidRDefault="0A3BC8CA" w:rsidP="0A3BC8CA">
      <w:pPr>
        <w:rPr>
          <w:b/>
          <w:bCs/>
          <w:i/>
          <w:iCs/>
          <w:sz w:val="24"/>
          <w:szCs w:val="24"/>
        </w:rPr>
      </w:pPr>
      <w:r w:rsidRPr="0A3BC8CA">
        <w:rPr>
          <w:sz w:val="24"/>
          <w:szCs w:val="24"/>
        </w:rPr>
        <w:t xml:space="preserve">Grade distributions from the past few COVID-impacted years show a “half-pipe” effect, wherein there are nearly equal rates of passing and failing + withdrawal grades. This comports with anecdotal evidence from instructors, who share that students who come to class and engage with assignments do very well and meet learning outcomes, but that there are disproportionately higher numbers of students who “ghost”--do not attend regularly, do not complete work, and are unresponsive to multiple modes of outreach. This trend does not seem isolated to GGC 1000; similar trends are observable in learning support Math and English classes, as well as a significant number of gateway classes at GGC. Because of these larger trends, which are suggestive of external factors’ dominance (work/school imbalance, increased caregiving, mental/emotional health and bandwidth challenges), it is hard to determine the impact of the OER textbook. However, it is a logical conclusion that having a free and </w:t>
      </w:r>
      <w:r w:rsidRPr="0A3BC8CA">
        <w:rPr>
          <w:sz w:val="24"/>
          <w:szCs w:val="24"/>
        </w:rPr>
        <w:lastRenderedPageBreak/>
        <w:t xml:space="preserve">immediately accessible text does erase one significant barrier to course engagement and success, should students have the capacity (variously defined) to actively participate in their academic work. </w:t>
      </w:r>
    </w:p>
    <w:p w14:paraId="2258B15D" w14:textId="72BD836D" w:rsidR="6150DB48" w:rsidRDefault="0A3BC8CA" w:rsidP="0A3BC8CA">
      <w:pPr>
        <w:rPr>
          <w:sz w:val="24"/>
          <w:szCs w:val="24"/>
        </w:rPr>
      </w:pPr>
      <w:r w:rsidRPr="0A3BC8CA">
        <w:rPr>
          <w:b/>
          <w:bCs/>
          <w:i/>
          <w:iCs/>
          <w:sz w:val="24"/>
          <w:szCs w:val="24"/>
        </w:rPr>
        <w:t>Pass Rates</w:t>
      </w:r>
    </w:p>
    <w:p w14:paraId="2B9F99BB" w14:textId="0FAAB3EC" w:rsidR="6150DB48" w:rsidRDefault="0A3BC8CA" w:rsidP="0A3BC8CA">
      <w:pPr>
        <w:rPr>
          <w:b/>
          <w:bCs/>
          <w:i/>
          <w:iCs/>
          <w:sz w:val="24"/>
          <w:szCs w:val="24"/>
        </w:rPr>
      </w:pPr>
      <w:r w:rsidRPr="0A3BC8CA">
        <w:rPr>
          <w:b/>
          <w:bCs/>
          <w:sz w:val="24"/>
          <w:szCs w:val="24"/>
        </w:rPr>
        <w:t>Historic Pass Rate Comparison GGC 1000</w:t>
      </w:r>
    </w:p>
    <w:tbl>
      <w:tblPr>
        <w:tblStyle w:val="GridTable5Dark-Accent1"/>
        <w:tblW w:w="0" w:type="auto"/>
        <w:tblLayout w:type="fixed"/>
        <w:tblLook w:val="06A0" w:firstRow="1" w:lastRow="0" w:firstColumn="1" w:lastColumn="0" w:noHBand="1" w:noVBand="1"/>
      </w:tblPr>
      <w:tblGrid>
        <w:gridCol w:w="1920"/>
        <w:gridCol w:w="2040"/>
        <w:gridCol w:w="1425"/>
        <w:gridCol w:w="1920"/>
        <w:gridCol w:w="2160"/>
      </w:tblGrid>
      <w:tr w:rsidR="0A3BC8CA" w14:paraId="5D97FB18" w14:textId="77777777" w:rsidTr="0A3BC8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20" w:type="dxa"/>
          </w:tcPr>
          <w:p w14:paraId="218F7634" w14:textId="3C27BC8D" w:rsidR="0A3BC8CA" w:rsidRDefault="0A3BC8CA" w:rsidP="0A3BC8CA">
            <w:pPr>
              <w:rPr>
                <w:sz w:val="24"/>
                <w:szCs w:val="24"/>
              </w:rPr>
            </w:pPr>
            <w:r w:rsidRPr="0A3BC8CA">
              <w:rPr>
                <w:sz w:val="24"/>
                <w:szCs w:val="24"/>
              </w:rPr>
              <w:t>Pass Rate (ABC%)</w:t>
            </w:r>
          </w:p>
          <w:p w14:paraId="27992392" w14:textId="3D0FBE06" w:rsidR="0A3BC8CA" w:rsidRDefault="0A3BC8CA" w:rsidP="0A3BC8CA">
            <w:pPr>
              <w:rPr>
                <w:sz w:val="24"/>
                <w:szCs w:val="24"/>
              </w:rPr>
            </w:pPr>
            <w:r w:rsidRPr="0A3BC8CA">
              <w:rPr>
                <w:sz w:val="24"/>
                <w:szCs w:val="24"/>
              </w:rPr>
              <w:t>Comparison</w:t>
            </w:r>
          </w:p>
        </w:tc>
        <w:tc>
          <w:tcPr>
            <w:tcW w:w="2040" w:type="dxa"/>
          </w:tcPr>
          <w:p w14:paraId="72655D1C" w14:textId="16A42A7F" w:rsidR="0A3BC8CA" w:rsidRDefault="0A3BC8CA" w:rsidP="0A3BC8CA">
            <w:pPr>
              <w:jc w:val="center"/>
              <w:cnfStyle w:val="100000000000" w:firstRow="1" w:lastRow="0" w:firstColumn="0" w:lastColumn="0" w:oddVBand="0" w:evenVBand="0" w:oddHBand="0" w:evenHBand="0" w:firstRowFirstColumn="0" w:firstRowLastColumn="0" w:lastRowFirstColumn="0" w:lastRowLastColumn="0"/>
              <w:rPr>
                <w:b w:val="0"/>
                <w:bCs w:val="0"/>
                <w:sz w:val="24"/>
                <w:szCs w:val="24"/>
              </w:rPr>
            </w:pPr>
            <w:r w:rsidRPr="0A3BC8CA">
              <w:rPr>
                <w:sz w:val="24"/>
                <w:szCs w:val="24"/>
              </w:rPr>
              <w:t>2019 (pre-COVID)</w:t>
            </w:r>
          </w:p>
        </w:tc>
        <w:tc>
          <w:tcPr>
            <w:tcW w:w="1425" w:type="dxa"/>
          </w:tcPr>
          <w:p w14:paraId="2B153C50" w14:textId="33BB52F1" w:rsidR="0A3BC8CA" w:rsidRDefault="0A3BC8CA" w:rsidP="0A3BC8CA">
            <w:pPr>
              <w:jc w:val="center"/>
              <w:cnfStyle w:val="100000000000" w:firstRow="1" w:lastRow="0" w:firstColumn="0" w:lastColumn="0" w:oddVBand="0" w:evenVBand="0" w:oddHBand="0" w:evenHBand="0" w:firstRowFirstColumn="0" w:firstRowLastColumn="0" w:lastRowFirstColumn="0" w:lastRowLastColumn="0"/>
              <w:rPr>
                <w:b w:val="0"/>
                <w:bCs w:val="0"/>
                <w:sz w:val="24"/>
                <w:szCs w:val="24"/>
              </w:rPr>
            </w:pPr>
            <w:r w:rsidRPr="0A3BC8CA">
              <w:rPr>
                <w:sz w:val="24"/>
                <w:szCs w:val="24"/>
              </w:rPr>
              <w:t>2020</w:t>
            </w:r>
          </w:p>
        </w:tc>
        <w:tc>
          <w:tcPr>
            <w:tcW w:w="1920" w:type="dxa"/>
          </w:tcPr>
          <w:p w14:paraId="7E1286BD" w14:textId="1B786A74" w:rsidR="0A3BC8CA" w:rsidRDefault="0A3BC8CA" w:rsidP="0A3BC8CA">
            <w:pPr>
              <w:jc w:val="center"/>
              <w:cnfStyle w:val="100000000000" w:firstRow="1" w:lastRow="0" w:firstColumn="0" w:lastColumn="0" w:oddVBand="0" w:evenVBand="0" w:oddHBand="0" w:evenHBand="0" w:firstRowFirstColumn="0" w:firstRowLastColumn="0" w:lastRowFirstColumn="0" w:lastRowLastColumn="0"/>
              <w:rPr>
                <w:b w:val="0"/>
                <w:bCs w:val="0"/>
                <w:sz w:val="24"/>
                <w:szCs w:val="24"/>
              </w:rPr>
            </w:pPr>
            <w:r w:rsidRPr="0A3BC8CA">
              <w:rPr>
                <w:sz w:val="24"/>
                <w:szCs w:val="24"/>
              </w:rPr>
              <w:t>2021</w:t>
            </w:r>
          </w:p>
        </w:tc>
        <w:tc>
          <w:tcPr>
            <w:tcW w:w="2160" w:type="dxa"/>
          </w:tcPr>
          <w:p w14:paraId="4E1550C8" w14:textId="789B0DAD" w:rsidR="0A3BC8CA" w:rsidRDefault="0A3BC8CA" w:rsidP="0A3BC8CA">
            <w:pPr>
              <w:jc w:val="center"/>
              <w:cnfStyle w:val="100000000000" w:firstRow="1" w:lastRow="0" w:firstColumn="0" w:lastColumn="0" w:oddVBand="0" w:evenVBand="0" w:oddHBand="0" w:evenHBand="0" w:firstRowFirstColumn="0" w:firstRowLastColumn="0" w:lastRowFirstColumn="0" w:lastRowLastColumn="0"/>
              <w:rPr>
                <w:b w:val="0"/>
                <w:bCs w:val="0"/>
                <w:sz w:val="24"/>
                <w:szCs w:val="24"/>
              </w:rPr>
            </w:pPr>
            <w:r w:rsidRPr="0A3BC8CA">
              <w:rPr>
                <w:sz w:val="24"/>
                <w:szCs w:val="24"/>
              </w:rPr>
              <w:t>2022</w:t>
            </w:r>
          </w:p>
        </w:tc>
      </w:tr>
      <w:tr w:rsidR="0A3BC8CA" w14:paraId="7E587ADD" w14:textId="77777777" w:rsidTr="0A3BC8CA">
        <w:tc>
          <w:tcPr>
            <w:cnfStyle w:val="001000000000" w:firstRow="0" w:lastRow="0" w:firstColumn="1" w:lastColumn="0" w:oddVBand="0" w:evenVBand="0" w:oddHBand="0" w:evenHBand="0" w:firstRowFirstColumn="0" w:firstRowLastColumn="0" w:lastRowFirstColumn="0" w:lastRowLastColumn="0"/>
            <w:tcW w:w="1920" w:type="dxa"/>
          </w:tcPr>
          <w:p w14:paraId="2BB3B938" w14:textId="33B8E473" w:rsidR="0A3BC8CA" w:rsidRDefault="0A3BC8CA" w:rsidP="0A3BC8CA">
            <w:pPr>
              <w:rPr>
                <w:sz w:val="24"/>
                <w:szCs w:val="24"/>
              </w:rPr>
            </w:pPr>
            <w:r w:rsidRPr="0A3BC8CA">
              <w:rPr>
                <w:sz w:val="24"/>
                <w:szCs w:val="24"/>
              </w:rPr>
              <w:t>Spring Semester</w:t>
            </w:r>
          </w:p>
        </w:tc>
        <w:tc>
          <w:tcPr>
            <w:tcW w:w="2040" w:type="dxa"/>
          </w:tcPr>
          <w:p w14:paraId="55693386" w14:textId="69D5C98E" w:rsidR="0A3BC8CA" w:rsidRDefault="0A3BC8CA" w:rsidP="0A3BC8CA">
            <w:pPr>
              <w:cnfStyle w:val="000000000000" w:firstRow="0" w:lastRow="0" w:firstColumn="0" w:lastColumn="0" w:oddVBand="0" w:evenVBand="0" w:oddHBand="0" w:evenHBand="0" w:firstRowFirstColumn="0" w:firstRowLastColumn="0" w:lastRowFirstColumn="0" w:lastRowLastColumn="0"/>
              <w:rPr>
                <w:b/>
                <w:bCs/>
                <w:sz w:val="24"/>
                <w:szCs w:val="24"/>
              </w:rPr>
            </w:pPr>
            <w:r w:rsidRPr="0A3BC8CA">
              <w:rPr>
                <w:b/>
                <w:bCs/>
                <w:sz w:val="24"/>
                <w:szCs w:val="24"/>
              </w:rPr>
              <w:t>83%</w:t>
            </w:r>
          </w:p>
        </w:tc>
        <w:tc>
          <w:tcPr>
            <w:tcW w:w="1425" w:type="dxa"/>
          </w:tcPr>
          <w:p w14:paraId="211E0C8A" w14:textId="4FEF7570" w:rsidR="0A3BC8CA" w:rsidRDefault="0A3BC8CA" w:rsidP="0A3BC8CA">
            <w:pPr>
              <w:cnfStyle w:val="000000000000" w:firstRow="0" w:lastRow="0" w:firstColumn="0" w:lastColumn="0" w:oddVBand="0" w:evenVBand="0" w:oddHBand="0" w:evenHBand="0" w:firstRowFirstColumn="0" w:firstRowLastColumn="0" w:lastRowFirstColumn="0" w:lastRowLastColumn="0"/>
              <w:rPr>
                <w:b/>
                <w:bCs/>
                <w:sz w:val="24"/>
                <w:szCs w:val="24"/>
              </w:rPr>
            </w:pPr>
            <w:r w:rsidRPr="0A3BC8CA">
              <w:rPr>
                <w:b/>
                <w:bCs/>
                <w:sz w:val="24"/>
                <w:szCs w:val="24"/>
              </w:rPr>
              <w:t>55%</w:t>
            </w:r>
          </w:p>
        </w:tc>
        <w:tc>
          <w:tcPr>
            <w:tcW w:w="1920" w:type="dxa"/>
          </w:tcPr>
          <w:p w14:paraId="3F0DC66B" w14:textId="63EE3B07" w:rsidR="0A3BC8CA" w:rsidRDefault="0A3BC8CA" w:rsidP="0A3BC8CA">
            <w:pPr>
              <w:cnfStyle w:val="000000000000" w:firstRow="0" w:lastRow="0" w:firstColumn="0" w:lastColumn="0" w:oddVBand="0" w:evenVBand="0" w:oddHBand="0" w:evenHBand="0" w:firstRowFirstColumn="0" w:firstRowLastColumn="0" w:lastRowFirstColumn="0" w:lastRowLastColumn="0"/>
              <w:rPr>
                <w:b/>
                <w:bCs/>
                <w:sz w:val="24"/>
                <w:szCs w:val="24"/>
              </w:rPr>
            </w:pPr>
            <w:r w:rsidRPr="0A3BC8CA">
              <w:rPr>
                <w:b/>
                <w:bCs/>
                <w:sz w:val="24"/>
                <w:szCs w:val="24"/>
              </w:rPr>
              <w:t>55%</w:t>
            </w:r>
          </w:p>
        </w:tc>
        <w:tc>
          <w:tcPr>
            <w:tcW w:w="2160" w:type="dxa"/>
          </w:tcPr>
          <w:p w14:paraId="1AB2250A" w14:textId="0477859E" w:rsidR="0A3BC8CA" w:rsidRDefault="0A3BC8CA" w:rsidP="0A3BC8CA">
            <w:pPr>
              <w:cnfStyle w:val="000000000000" w:firstRow="0" w:lastRow="0" w:firstColumn="0" w:lastColumn="0" w:oddVBand="0" w:evenVBand="0" w:oddHBand="0" w:evenHBand="0" w:firstRowFirstColumn="0" w:firstRowLastColumn="0" w:lastRowFirstColumn="0" w:lastRowLastColumn="0"/>
              <w:rPr>
                <w:b/>
                <w:bCs/>
                <w:sz w:val="24"/>
                <w:szCs w:val="24"/>
              </w:rPr>
            </w:pPr>
            <w:r w:rsidRPr="0A3BC8CA">
              <w:rPr>
                <w:b/>
                <w:bCs/>
                <w:sz w:val="24"/>
                <w:szCs w:val="24"/>
              </w:rPr>
              <w:t>53% (OER scale)</w:t>
            </w:r>
          </w:p>
        </w:tc>
      </w:tr>
      <w:tr w:rsidR="0A3BC8CA" w14:paraId="11386D66" w14:textId="77777777" w:rsidTr="0A3BC8CA">
        <w:tc>
          <w:tcPr>
            <w:cnfStyle w:val="001000000000" w:firstRow="0" w:lastRow="0" w:firstColumn="1" w:lastColumn="0" w:oddVBand="0" w:evenVBand="0" w:oddHBand="0" w:evenHBand="0" w:firstRowFirstColumn="0" w:firstRowLastColumn="0" w:lastRowFirstColumn="0" w:lastRowLastColumn="0"/>
            <w:tcW w:w="1920" w:type="dxa"/>
          </w:tcPr>
          <w:p w14:paraId="76B34DA6" w14:textId="2F03B48A" w:rsidR="0A3BC8CA" w:rsidRDefault="0A3BC8CA" w:rsidP="0A3BC8CA">
            <w:pPr>
              <w:rPr>
                <w:sz w:val="24"/>
                <w:szCs w:val="24"/>
              </w:rPr>
            </w:pPr>
            <w:r w:rsidRPr="0A3BC8CA">
              <w:rPr>
                <w:sz w:val="24"/>
                <w:szCs w:val="24"/>
              </w:rPr>
              <w:t>Fall Semester</w:t>
            </w:r>
          </w:p>
        </w:tc>
        <w:tc>
          <w:tcPr>
            <w:tcW w:w="2040" w:type="dxa"/>
          </w:tcPr>
          <w:p w14:paraId="7A0A4BC4" w14:textId="096AC0EF" w:rsidR="0A3BC8CA" w:rsidRDefault="0A3BC8CA" w:rsidP="0A3BC8CA">
            <w:pPr>
              <w:cnfStyle w:val="000000000000" w:firstRow="0" w:lastRow="0" w:firstColumn="0" w:lastColumn="0" w:oddVBand="0" w:evenVBand="0" w:oddHBand="0" w:evenHBand="0" w:firstRowFirstColumn="0" w:firstRowLastColumn="0" w:lastRowFirstColumn="0" w:lastRowLastColumn="0"/>
              <w:rPr>
                <w:b/>
                <w:bCs/>
                <w:sz w:val="24"/>
                <w:szCs w:val="24"/>
              </w:rPr>
            </w:pPr>
            <w:r w:rsidRPr="0A3BC8CA">
              <w:rPr>
                <w:b/>
                <w:bCs/>
                <w:sz w:val="24"/>
                <w:szCs w:val="24"/>
              </w:rPr>
              <w:t>76%</w:t>
            </w:r>
          </w:p>
        </w:tc>
        <w:tc>
          <w:tcPr>
            <w:tcW w:w="1425" w:type="dxa"/>
          </w:tcPr>
          <w:p w14:paraId="5C64A761" w14:textId="7D915E6F" w:rsidR="0A3BC8CA" w:rsidRDefault="0A3BC8CA" w:rsidP="0A3BC8CA">
            <w:pPr>
              <w:cnfStyle w:val="000000000000" w:firstRow="0" w:lastRow="0" w:firstColumn="0" w:lastColumn="0" w:oddVBand="0" w:evenVBand="0" w:oddHBand="0" w:evenHBand="0" w:firstRowFirstColumn="0" w:firstRowLastColumn="0" w:lastRowFirstColumn="0" w:lastRowLastColumn="0"/>
              <w:rPr>
                <w:b/>
                <w:bCs/>
                <w:sz w:val="24"/>
                <w:szCs w:val="24"/>
              </w:rPr>
            </w:pPr>
            <w:r w:rsidRPr="0A3BC8CA">
              <w:rPr>
                <w:b/>
                <w:bCs/>
                <w:sz w:val="24"/>
                <w:szCs w:val="24"/>
              </w:rPr>
              <w:t>63%</w:t>
            </w:r>
          </w:p>
        </w:tc>
        <w:tc>
          <w:tcPr>
            <w:tcW w:w="1920" w:type="dxa"/>
          </w:tcPr>
          <w:p w14:paraId="20A0E015" w14:textId="54723ABD" w:rsidR="0A3BC8CA" w:rsidRDefault="0A3BC8CA" w:rsidP="0A3BC8CA">
            <w:pPr>
              <w:cnfStyle w:val="000000000000" w:firstRow="0" w:lastRow="0" w:firstColumn="0" w:lastColumn="0" w:oddVBand="0" w:evenVBand="0" w:oddHBand="0" w:evenHBand="0" w:firstRowFirstColumn="0" w:firstRowLastColumn="0" w:lastRowFirstColumn="0" w:lastRowLastColumn="0"/>
              <w:rPr>
                <w:b/>
                <w:bCs/>
                <w:sz w:val="24"/>
                <w:szCs w:val="24"/>
              </w:rPr>
            </w:pPr>
            <w:r w:rsidRPr="0A3BC8CA">
              <w:rPr>
                <w:b/>
                <w:bCs/>
                <w:sz w:val="24"/>
                <w:szCs w:val="24"/>
              </w:rPr>
              <w:t>61% (OER pilot)</w:t>
            </w:r>
          </w:p>
        </w:tc>
        <w:tc>
          <w:tcPr>
            <w:tcW w:w="2160" w:type="dxa"/>
          </w:tcPr>
          <w:p w14:paraId="0A9904ED" w14:textId="607614D1" w:rsidR="0A3BC8CA" w:rsidRDefault="0A3BC8CA" w:rsidP="0A3BC8CA">
            <w:pPr>
              <w:cnfStyle w:val="000000000000" w:firstRow="0" w:lastRow="0" w:firstColumn="0" w:lastColumn="0" w:oddVBand="0" w:evenVBand="0" w:oddHBand="0" w:evenHBand="0" w:firstRowFirstColumn="0" w:firstRowLastColumn="0" w:lastRowFirstColumn="0" w:lastRowLastColumn="0"/>
              <w:rPr>
                <w:b/>
                <w:bCs/>
                <w:sz w:val="24"/>
                <w:szCs w:val="24"/>
              </w:rPr>
            </w:pPr>
            <w:r w:rsidRPr="0A3BC8CA">
              <w:rPr>
                <w:b/>
                <w:bCs/>
                <w:sz w:val="24"/>
                <w:szCs w:val="24"/>
              </w:rPr>
              <w:t>TBD</w:t>
            </w:r>
          </w:p>
        </w:tc>
      </w:tr>
    </w:tbl>
    <w:p w14:paraId="178DDC92" w14:textId="43B255D3" w:rsidR="6150DB48" w:rsidRDefault="6150DB48" w:rsidP="0A3BC8CA">
      <w:pPr>
        <w:rPr>
          <w:b/>
          <w:bCs/>
          <w:sz w:val="24"/>
          <w:szCs w:val="24"/>
        </w:rPr>
      </w:pPr>
    </w:p>
    <w:p w14:paraId="450532AA" w14:textId="6A1D00A5" w:rsidR="6150DB48" w:rsidRDefault="0A3BC8CA" w:rsidP="0A3BC8CA">
      <w:pPr>
        <w:rPr>
          <w:b/>
          <w:bCs/>
          <w:sz w:val="24"/>
          <w:szCs w:val="24"/>
        </w:rPr>
      </w:pPr>
      <w:r w:rsidRPr="0A3BC8CA">
        <w:rPr>
          <w:sz w:val="24"/>
          <w:szCs w:val="24"/>
        </w:rPr>
        <w:t>The table above illustrates summative pass rates for all GGC 1000 students per semester. Pass rates took a 10+% dip after COVID spread. While some sections were offered hybrid or online modality in FA20, predominantly GGC 1000 sections have been face-to-face. The consistency of pass rates fall-to-fall and spring-to-spring, and pre-/post-OER implementation suggests both that outside factors are adversely affecting students’ ability to come to class and complete the work, as well as a neutral effect by the OER textbook during pilot and scaled semesters. Given the relatively low enrollments and continued COVID-related impacts, the data proves inconclusive on how much of a benefit the OER textbook provides for passing the course. We will continue data collection to observe any possible trends.</w:t>
      </w:r>
    </w:p>
    <w:p w14:paraId="4E981374" w14:textId="070119C8" w:rsidR="6150DB48" w:rsidRDefault="0A3BC8CA" w:rsidP="0A3BC8CA">
      <w:pPr>
        <w:rPr>
          <w:b/>
          <w:bCs/>
          <w:sz w:val="24"/>
          <w:szCs w:val="24"/>
        </w:rPr>
      </w:pPr>
      <w:r w:rsidRPr="0A3BC8CA">
        <w:rPr>
          <w:b/>
          <w:bCs/>
          <w:sz w:val="24"/>
          <w:szCs w:val="24"/>
        </w:rPr>
        <w:t xml:space="preserve">Equity Pass Rate Comparison </w:t>
      </w:r>
    </w:p>
    <w:p w14:paraId="6044CD4A" w14:textId="5C72A956" w:rsidR="6150DB48" w:rsidRDefault="0A3BC8CA" w:rsidP="0A3BC8CA">
      <w:pPr>
        <w:rPr>
          <w:sz w:val="24"/>
          <w:szCs w:val="24"/>
          <w:u w:val="single"/>
        </w:rPr>
      </w:pPr>
      <w:r w:rsidRPr="0A3BC8CA">
        <w:rPr>
          <w:sz w:val="24"/>
          <w:szCs w:val="24"/>
          <w:u w:val="single"/>
        </w:rPr>
        <w:t>Spring 2022 by Race/Ethnicity</w:t>
      </w:r>
    </w:p>
    <w:tbl>
      <w:tblPr>
        <w:tblStyle w:val="TableGrid"/>
        <w:tblW w:w="0" w:type="auto"/>
        <w:tblLayout w:type="fixed"/>
        <w:tblLook w:val="06A0" w:firstRow="1" w:lastRow="0" w:firstColumn="1" w:lastColumn="0" w:noHBand="1" w:noVBand="1"/>
      </w:tblPr>
      <w:tblGrid>
        <w:gridCol w:w="1355"/>
        <w:gridCol w:w="1355"/>
        <w:gridCol w:w="1425"/>
        <w:gridCol w:w="1321"/>
        <w:gridCol w:w="1471"/>
        <w:gridCol w:w="1216"/>
        <w:gridCol w:w="1216"/>
      </w:tblGrid>
      <w:tr w:rsidR="0A3BC8CA" w14:paraId="76069A12" w14:textId="77777777" w:rsidTr="0A3BC8CA">
        <w:tc>
          <w:tcPr>
            <w:tcW w:w="1355" w:type="dxa"/>
            <w:shd w:val="clear" w:color="auto" w:fill="D9E2F3" w:themeFill="accent5" w:themeFillTint="33"/>
          </w:tcPr>
          <w:p w14:paraId="6F48B2B0" w14:textId="018F13F3" w:rsidR="0A3BC8CA" w:rsidRDefault="0A3BC8CA" w:rsidP="0A3BC8CA">
            <w:pPr>
              <w:rPr>
                <w:rFonts w:asciiTheme="minorHAnsi" w:eastAsiaTheme="minorEastAsia" w:hAnsiTheme="minorHAnsi" w:cstheme="minorBidi"/>
                <w:b/>
                <w:bCs/>
                <w:i/>
                <w:iCs/>
                <w:sz w:val="24"/>
                <w:szCs w:val="24"/>
              </w:rPr>
            </w:pPr>
            <w:r w:rsidRPr="0A3BC8CA">
              <w:rPr>
                <w:rFonts w:asciiTheme="minorHAnsi" w:eastAsiaTheme="minorEastAsia" w:hAnsiTheme="minorHAnsi" w:cstheme="minorBidi"/>
                <w:b/>
                <w:bCs/>
                <w:i/>
                <w:iCs/>
                <w:sz w:val="24"/>
                <w:szCs w:val="24"/>
              </w:rPr>
              <w:t>Race &amp; Ethnicity</w:t>
            </w:r>
          </w:p>
        </w:tc>
        <w:tc>
          <w:tcPr>
            <w:tcW w:w="1355" w:type="dxa"/>
            <w:shd w:val="clear" w:color="auto" w:fill="D9E2F3" w:themeFill="accent5" w:themeFillTint="33"/>
          </w:tcPr>
          <w:p w14:paraId="150DE716" w14:textId="39C5D54F" w:rsidR="0A3BC8CA" w:rsidRDefault="0A3BC8CA" w:rsidP="0A3BC8CA">
            <w:pPr>
              <w:rPr>
                <w:rFonts w:asciiTheme="minorHAnsi" w:eastAsiaTheme="minorEastAsia" w:hAnsiTheme="minorHAnsi" w:cstheme="minorBidi"/>
                <w:b/>
                <w:bCs/>
                <w:sz w:val="24"/>
                <w:szCs w:val="24"/>
              </w:rPr>
            </w:pPr>
            <w:r w:rsidRPr="0A3BC8CA">
              <w:rPr>
                <w:rFonts w:asciiTheme="minorHAnsi" w:eastAsiaTheme="minorEastAsia" w:hAnsiTheme="minorHAnsi" w:cstheme="minorBidi"/>
                <w:b/>
                <w:bCs/>
                <w:sz w:val="24"/>
                <w:szCs w:val="24"/>
              </w:rPr>
              <w:t>Average, all ethnicities</w:t>
            </w:r>
          </w:p>
          <w:p w14:paraId="52EC7472" w14:textId="2FB4E419" w:rsidR="0A3BC8CA" w:rsidRDefault="0A3BC8CA" w:rsidP="0A3BC8CA">
            <w:pPr>
              <w:rPr>
                <w:rFonts w:asciiTheme="minorHAnsi" w:eastAsiaTheme="minorEastAsia" w:hAnsiTheme="minorHAnsi" w:cstheme="minorBidi"/>
                <w:b/>
                <w:bCs/>
                <w:sz w:val="24"/>
                <w:szCs w:val="24"/>
              </w:rPr>
            </w:pPr>
            <w:r w:rsidRPr="0A3BC8CA">
              <w:rPr>
                <w:rFonts w:asciiTheme="minorHAnsi" w:eastAsiaTheme="minorEastAsia" w:hAnsiTheme="minorHAnsi" w:cstheme="minorBidi"/>
                <w:b/>
                <w:bCs/>
                <w:sz w:val="24"/>
                <w:szCs w:val="24"/>
              </w:rPr>
              <w:t>N=32</w:t>
            </w:r>
          </w:p>
        </w:tc>
        <w:tc>
          <w:tcPr>
            <w:tcW w:w="1425" w:type="dxa"/>
            <w:shd w:val="clear" w:color="auto" w:fill="D9E2F3" w:themeFill="accent5" w:themeFillTint="33"/>
          </w:tcPr>
          <w:p w14:paraId="118621CC" w14:textId="19DE62FE" w:rsidR="0A3BC8CA" w:rsidRDefault="0A3BC8CA" w:rsidP="0A3BC8CA">
            <w:pPr>
              <w:rPr>
                <w:rFonts w:asciiTheme="minorHAnsi" w:eastAsiaTheme="minorEastAsia" w:hAnsiTheme="minorHAnsi" w:cstheme="minorBidi"/>
                <w:b/>
                <w:bCs/>
                <w:sz w:val="24"/>
                <w:szCs w:val="24"/>
              </w:rPr>
            </w:pPr>
            <w:r w:rsidRPr="0A3BC8CA">
              <w:rPr>
                <w:rFonts w:asciiTheme="minorHAnsi" w:eastAsiaTheme="minorEastAsia" w:hAnsiTheme="minorHAnsi" w:cstheme="minorBidi"/>
                <w:b/>
                <w:bCs/>
                <w:sz w:val="24"/>
                <w:szCs w:val="24"/>
              </w:rPr>
              <w:t>Black/ African American</w:t>
            </w:r>
          </w:p>
          <w:p w14:paraId="3C346000" w14:textId="16D4CF4A" w:rsidR="0A3BC8CA" w:rsidRDefault="0A3BC8CA" w:rsidP="0A3BC8CA">
            <w:pPr>
              <w:rPr>
                <w:rFonts w:asciiTheme="minorHAnsi" w:eastAsiaTheme="minorEastAsia" w:hAnsiTheme="minorHAnsi" w:cstheme="minorBidi"/>
                <w:b/>
                <w:bCs/>
                <w:sz w:val="24"/>
                <w:szCs w:val="24"/>
              </w:rPr>
            </w:pPr>
            <w:r w:rsidRPr="0A3BC8CA">
              <w:rPr>
                <w:rFonts w:asciiTheme="minorHAnsi" w:eastAsiaTheme="minorEastAsia" w:hAnsiTheme="minorHAnsi" w:cstheme="minorBidi"/>
                <w:b/>
                <w:bCs/>
                <w:sz w:val="24"/>
                <w:szCs w:val="24"/>
              </w:rPr>
              <w:t>N=14</w:t>
            </w:r>
          </w:p>
        </w:tc>
        <w:tc>
          <w:tcPr>
            <w:tcW w:w="1321" w:type="dxa"/>
            <w:shd w:val="clear" w:color="auto" w:fill="D9E2F3" w:themeFill="accent5" w:themeFillTint="33"/>
          </w:tcPr>
          <w:p w14:paraId="11C528A5" w14:textId="400D10DC" w:rsidR="0A3BC8CA" w:rsidRDefault="0A3BC8CA" w:rsidP="0A3BC8CA">
            <w:pPr>
              <w:rPr>
                <w:rFonts w:asciiTheme="minorHAnsi" w:eastAsiaTheme="minorEastAsia" w:hAnsiTheme="minorHAnsi" w:cstheme="minorBidi"/>
                <w:b/>
                <w:bCs/>
                <w:i/>
                <w:iCs/>
                <w:sz w:val="24"/>
                <w:szCs w:val="24"/>
              </w:rPr>
            </w:pPr>
            <w:r w:rsidRPr="0A3BC8CA">
              <w:rPr>
                <w:rFonts w:asciiTheme="minorHAnsi" w:eastAsiaTheme="minorEastAsia" w:hAnsiTheme="minorHAnsi" w:cstheme="minorBidi"/>
                <w:b/>
                <w:bCs/>
                <w:sz w:val="24"/>
                <w:szCs w:val="24"/>
              </w:rPr>
              <w:t>Hispanic/ LatinX</w:t>
            </w:r>
          </w:p>
          <w:p w14:paraId="14AD1B49" w14:textId="3FB89B43" w:rsidR="0A3BC8CA" w:rsidRDefault="0A3BC8CA" w:rsidP="0A3BC8CA">
            <w:pPr>
              <w:rPr>
                <w:rFonts w:asciiTheme="minorHAnsi" w:eastAsiaTheme="minorEastAsia" w:hAnsiTheme="minorHAnsi" w:cstheme="minorBidi"/>
                <w:b/>
                <w:bCs/>
                <w:sz w:val="24"/>
                <w:szCs w:val="24"/>
              </w:rPr>
            </w:pPr>
            <w:r w:rsidRPr="0A3BC8CA">
              <w:rPr>
                <w:rFonts w:asciiTheme="minorHAnsi" w:eastAsiaTheme="minorEastAsia" w:hAnsiTheme="minorHAnsi" w:cstheme="minorBidi"/>
                <w:b/>
                <w:bCs/>
                <w:sz w:val="24"/>
                <w:szCs w:val="24"/>
              </w:rPr>
              <w:t>N=8</w:t>
            </w:r>
          </w:p>
        </w:tc>
        <w:tc>
          <w:tcPr>
            <w:tcW w:w="1471" w:type="dxa"/>
            <w:shd w:val="clear" w:color="auto" w:fill="D9E2F3" w:themeFill="accent5" w:themeFillTint="33"/>
          </w:tcPr>
          <w:p w14:paraId="28BCB376" w14:textId="05AA717F" w:rsidR="0A3BC8CA" w:rsidRDefault="0A3BC8CA" w:rsidP="0A3BC8CA">
            <w:pPr>
              <w:rPr>
                <w:rFonts w:asciiTheme="minorHAnsi" w:eastAsiaTheme="minorEastAsia" w:hAnsiTheme="minorHAnsi" w:cstheme="minorBidi"/>
                <w:b/>
                <w:bCs/>
                <w:i/>
                <w:iCs/>
                <w:sz w:val="24"/>
                <w:szCs w:val="24"/>
              </w:rPr>
            </w:pPr>
            <w:r w:rsidRPr="0A3BC8CA">
              <w:rPr>
                <w:rFonts w:asciiTheme="minorHAnsi" w:eastAsiaTheme="minorEastAsia" w:hAnsiTheme="minorHAnsi" w:cstheme="minorBidi"/>
                <w:b/>
                <w:bCs/>
                <w:sz w:val="24"/>
                <w:szCs w:val="24"/>
              </w:rPr>
              <w:t>Asian American/ Pacific Islander</w:t>
            </w:r>
          </w:p>
          <w:p w14:paraId="7ABE8255" w14:textId="168D5DB3" w:rsidR="0A3BC8CA" w:rsidRDefault="0A3BC8CA" w:rsidP="0A3BC8CA">
            <w:pPr>
              <w:rPr>
                <w:rFonts w:asciiTheme="minorHAnsi" w:eastAsiaTheme="minorEastAsia" w:hAnsiTheme="minorHAnsi" w:cstheme="minorBidi"/>
                <w:b/>
                <w:bCs/>
                <w:sz w:val="24"/>
                <w:szCs w:val="24"/>
              </w:rPr>
            </w:pPr>
            <w:r w:rsidRPr="0A3BC8CA">
              <w:rPr>
                <w:rFonts w:asciiTheme="minorHAnsi" w:eastAsiaTheme="minorEastAsia" w:hAnsiTheme="minorHAnsi" w:cstheme="minorBidi"/>
                <w:b/>
                <w:bCs/>
                <w:sz w:val="24"/>
                <w:szCs w:val="24"/>
              </w:rPr>
              <w:t>N=4</w:t>
            </w:r>
          </w:p>
        </w:tc>
        <w:tc>
          <w:tcPr>
            <w:tcW w:w="1216" w:type="dxa"/>
            <w:shd w:val="clear" w:color="auto" w:fill="D9E2F3" w:themeFill="accent5" w:themeFillTint="33"/>
          </w:tcPr>
          <w:p w14:paraId="2574245F" w14:textId="761A75C5" w:rsidR="0A3BC8CA" w:rsidRDefault="0A3BC8CA" w:rsidP="0A3BC8CA">
            <w:pPr>
              <w:rPr>
                <w:rFonts w:asciiTheme="minorHAnsi" w:eastAsiaTheme="minorEastAsia" w:hAnsiTheme="minorHAnsi" w:cstheme="minorBidi"/>
                <w:b/>
                <w:bCs/>
                <w:i/>
                <w:iCs/>
                <w:sz w:val="24"/>
                <w:szCs w:val="24"/>
              </w:rPr>
            </w:pPr>
            <w:r w:rsidRPr="0A3BC8CA">
              <w:rPr>
                <w:rFonts w:asciiTheme="minorHAnsi" w:eastAsiaTheme="minorEastAsia" w:hAnsiTheme="minorHAnsi" w:cstheme="minorBidi"/>
                <w:b/>
                <w:bCs/>
                <w:sz w:val="24"/>
                <w:szCs w:val="24"/>
              </w:rPr>
              <w:t>White</w:t>
            </w:r>
          </w:p>
          <w:p w14:paraId="2BB58A8B" w14:textId="73C77950" w:rsidR="0A3BC8CA" w:rsidRDefault="0A3BC8CA" w:rsidP="0A3BC8CA">
            <w:pPr>
              <w:rPr>
                <w:rFonts w:asciiTheme="minorHAnsi" w:eastAsiaTheme="minorEastAsia" w:hAnsiTheme="minorHAnsi" w:cstheme="minorBidi"/>
                <w:b/>
                <w:bCs/>
                <w:sz w:val="24"/>
                <w:szCs w:val="24"/>
              </w:rPr>
            </w:pPr>
            <w:r w:rsidRPr="0A3BC8CA">
              <w:rPr>
                <w:rFonts w:asciiTheme="minorHAnsi" w:eastAsiaTheme="minorEastAsia" w:hAnsiTheme="minorHAnsi" w:cstheme="minorBidi"/>
                <w:b/>
                <w:bCs/>
                <w:sz w:val="24"/>
                <w:szCs w:val="24"/>
              </w:rPr>
              <w:t>N=5</w:t>
            </w:r>
          </w:p>
        </w:tc>
        <w:tc>
          <w:tcPr>
            <w:tcW w:w="1216" w:type="dxa"/>
            <w:shd w:val="clear" w:color="auto" w:fill="D9E2F3" w:themeFill="accent5" w:themeFillTint="33"/>
          </w:tcPr>
          <w:p w14:paraId="102C6F73" w14:textId="739B9A5B" w:rsidR="0A3BC8CA" w:rsidRDefault="0A3BC8CA" w:rsidP="0A3BC8CA">
            <w:pPr>
              <w:rPr>
                <w:rFonts w:asciiTheme="minorHAnsi" w:eastAsiaTheme="minorEastAsia" w:hAnsiTheme="minorHAnsi" w:cstheme="minorBidi"/>
                <w:b/>
                <w:bCs/>
                <w:sz w:val="24"/>
                <w:szCs w:val="24"/>
              </w:rPr>
            </w:pPr>
            <w:r w:rsidRPr="0A3BC8CA">
              <w:rPr>
                <w:rFonts w:asciiTheme="minorHAnsi" w:eastAsiaTheme="minorEastAsia" w:hAnsiTheme="minorHAnsi" w:cstheme="minorBidi"/>
                <w:b/>
                <w:bCs/>
                <w:sz w:val="24"/>
                <w:szCs w:val="24"/>
              </w:rPr>
              <w:t>Multi-racial</w:t>
            </w:r>
          </w:p>
          <w:p w14:paraId="3944D816" w14:textId="0E45C4F0" w:rsidR="0A3BC8CA" w:rsidRDefault="0A3BC8CA" w:rsidP="0A3BC8CA">
            <w:pPr>
              <w:rPr>
                <w:rFonts w:asciiTheme="minorHAnsi" w:eastAsiaTheme="minorEastAsia" w:hAnsiTheme="minorHAnsi" w:cstheme="minorBidi"/>
                <w:b/>
                <w:bCs/>
                <w:sz w:val="24"/>
                <w:szCs w:val="24"/>
              </w:rPr>
            </w:pPr>
            <w:r w:rsidRPr="0A3BC8CA">
              <w:rPr>
                <w:rFonts w:asciiTheme="minorHAnsi" w:eastAsiaTheme="minorEastAsia" w:hAnsiTheme="minorHAnsi" w:cstheme="minorBidi"/>
                <w:b/>
                <w:bCs/>
                <w:sz w:val="24"/>
                <w:szCs w:val="24"/>
              </w:rPr>
              <w:t>N= 1</w:t>
            </w:r>
          </w:p>
        </w:tc>
      </w:tr>
      <w:tr w:rsidR="0A3BC8CA" w14:paraId="4149FADB" w14:textId="77777777" w:rsidTr="0A3BC8CA">
        <w:tc>
          <w:tcPr>
            <w:tcW w:w="1355" w:type="dxa"/>
            <w:shd w:val="clear" w:color="auto" w:fill="B4C6E7" w:themeFill="accent5" w:themeFillTint="66"/>
          </w:tcPr>
          <w:p w14:paraId="693C6D05" w14:textId="2BB8AF95" w:rsidR="0A3BC8CA" w:rsidRDefault="0A3BC8CA" w:rsidP="0A3BC8CA">
            <w:pPr>
              <w:rPr>
                <w:rFonts w:asciiTheme="minorHAnsi" w:eastAsiaTheme="minorEastAsia" w:hAnsiTheme="minorHAnsi" w:cstheme="minorBidi"/>
                <w:b/>
                <w:bCs/>
                <w:i/>
                <w:iCs/>
                <w:sz w:val="24"/>
                <w:szCs w:val="24"/>
              </w:rPr>
            </w:pPr>
            <w:r w:rsidRPr="0A3BC8CA">
              <w:rPr>
                <w:rFonts w:asciiTheme="minorHAnsi" w:eastAsiaTheme="minorEastAsia" w:hAnsiTheme="minorHAnsi" w:cstheme="minorBidi"/>
                <w:b/>
                <w:bCs/>
                <w:i/>
                <w:iCs/>
                <w:sz w:val="24"/>
                <w:szCs w:val="24"/>
              </w:rPr>
              <w:t>Pass Rate</w:t>
            </w:r>
          </w:p>
          <w:p w14:paraId="09925B36" w14:textId="08EDF216" w:rsidR="0A3BC8CA" w:rsidRDefault="0A3BC8CA" w:rsidP="0A3BC8CA">
            <w:pPr>
              <w:rPr>
                <w:rFonts w:asciiTheme="minorHAnsi" w:eastAsiaTheme="minorEastAsia" w:hAnsiTheme="minorHAnsi" w:cstheme="minorBidi"/>
                <w:b/>
                <w:bCs/>
                <w:i/>
                <w:iCs/>
                <w:sz w:val="24"/>
                <w:szCs w:val="24"/>
              </w:rPr>
            </w:pPr>
          </w:p>
        </w:tc>
        <w:tc>
          <w:tcPr>
            <w:tcW w:w="1355" w:type="dxa"/>
          </w:tcPr>
          <w:p w14:paraId="1F919C02" w14:textId="35977AE9" w:rsidR="0A3BC8CA" w:rsidRDefault="0A3BC8CA" w:rsidP="0A3BC8CA">
            <w:pPr>
              <w:rPr>
                <w:rFonts w:asciiTheme="minorHAnsi" w:eastAsiaTheme="minorEastAsia" w:hAnsiTheme="minorHAnsi" w:cstheme="minorBidi"/>
                <w:b/>
                <w:bCs/>
                <w:sz w:val="24"/>
                <w:szCs w:val="24"/>
              </w:rPr>
            </w:pPr>
            <w:r w:rsidRPr="0A3BC8CA">
              <w:rPr>
                <w:rFonts w:asciiTheme="minorHAnsi" w:eastAsiaTheme="minorEastAsia" w:hAnsiTheme="minorHAnsi" w:cstheme="minorBidi"/>
                <w:b/>
                <w:bCs/>
                <w:sz w:val="24"/>
                <w:szCs w:val="24"/>
              </w:rPr>
              <w:t>53%</w:t>
            </w:r>
          </w:p>
        </w:tc>
        <w:tc>
          <w:tcPr>
            <w:tcW w:w="1425" w:type="dxa"/>
          </w:tcPr>
          <w:p w14:paraId="0DE6BE7A" w14:textId="3258A3B5" w:rsidR="0A3BC8CA" w:rsidRDefault="0A3BC8CA" w:rsidP="0A3BC8CA">
            <w:pPr>
              <w:rPr>
                <w:rFonts w:asciiTheme="minorHAnsi" w:eastAsiaTheme="minorEastAsia" w:hAnsiTheme="minorHAnsi" w:cstheme="minorBidi"/>
                <w:b/>
                <w:bCs/>
                <w:sz w:val="24"/>
                <w:szCs w:val="24"/>
              </w:rPr>
            </w:pPr>
            <w:r w:rsidRPr="0A3BC8CA">
              <w:rPr>
                <w:rFonts w:asciiTheme="minorHAnsi" w:eastAsiaTheme="minorEastAsia" w:hAnsiTheme="minorHAnsi" w:cstheme="minorBidi"/>
                <w:b/>
                <w:bCs/>
                <w:sz w:val="24"/>
                <w:szCs w:val="24"/>
              </w:rPr>
              <w:t>64%</w:t>
            </w:r>
          </w:p>
        </w:tc>
        <w:tc>
          <w:tcPr>
            <w:tcW w:w="1321" w:type="dxa"/>
          </w:tcPr>
          <w:p w14:paraId="1A3D483D" w14:textId="2A572EA8" w:rsidR="0A3BC8CA" w:rsidRDefault="0A3BC8CA" w:rsidP="0A3BC8CA">
            <w:pPr>
              <w:rPr>
                <w:rFonts w:asciiTheme="minorHAnsi" w:eastAsiaTheme="minorEastAsia" w:hAnsiTheme="minorHAnsi" w:cstheme="minorBidi"/>
                <w:b/>
                <w:bCs/>
                <w:sz w:val="24"/>
                <w:szCs w:val="24"/>
              </w:rPr>
            </w:pPr>
            <w:r w:rsidRPr="0A3BC8CA">
              <w:rPr>
                <w:rFonts w:asciiTheme="minorHAnsi" w:eastAsiaTheme="minorEastAsia" w:hAnsiTheme="minorHAnsi" w:cstheme="minorBidi"/>
                <w:b/>
                <w:bCs/>
                <w:sz w:val="24"/>
                <w:szCs w:val="24"/>
              </w:rPr>
              <w:t>50%</w:t>
            </w:r>
          </w:p>
        </w:tc>
        <w:tc>
          <w:tcPr>
            <w:tcW w:w="1471" w:type="dxa"/>
          </w:tcPr>
          <w:p w14:paraId="2C967977" w14:textId="2C904551" w:rsidR="0A3BC8CA" w:rsidRDefault="0A3BC8CA" w:rsidP="0A3BC8CA">
            <w:pPr>
              <w:rPr>
                <w:rFonts w:asciiTheme="minorHAnsi" w:eastAsiaTheme="minorEastAsia" w:hAnsiTheme="minorHAnsi" w:cstheme="minorBidi"/>
                <w:b/>
                <w:bCs/>
                <w:sz w:val="24"/>
                <w:szCs w:val="24"/>
              </w:rPr>
            </w:pPr>
            <w:r w:rsidRPr="0A3BC8CA">
              <w:rPr>
                <w:rFonts w:asciiTheme="minorHAnsi" w:eastAsiaTheme="minorEastAsia" w:hAnsiTheme="minorHAnsi" w:cstheme="minorBidi"/>
                <w:b/>
                <w:bCs/>
                <w:sz w:val="24"/>
                <w:szCs w:val="24"/>
              </w:rPr>
              <w:t>75%</w:t>
            </w:r>
          </w:p>
        </w:tc>
        <w:tc>
          <w:tcPr>
            <w:tcW w:w="1216" w:type="dxa"/>
          </w:tcPr>
          <w:p w14:paraId="577BB674" w14:textId="1A70CB03" w:rsidR="0A3BC8CA" w:rsidRDefault="0A3BC8CA" w:rsidP="0A3BC8CA">
            <w:pPr>
              <w:rPr>
                <w:rFonts w:asciiTheme="minorHAnsi" w:eastAsiaTheme="minorEastAsia" w:hAnsiTheme="minorHAnsi" w:cstheme="minorBidi"/>
                <w:b/>
                <w:bCs/>
                <w:sz w:val="24"/>
                <w:szCs w:val="24"/>
              </w:rPr>
            </w:pPr>
            <w:r w:rsidRPr="0A3BC8CA">
              <w:rPr>
                <w:rFonts w:asciiTheme="minorHAnsi" w:eastAsiaTheme="minorEastAsia" w:hAnsiTheme="minorHAnsi" w:cstheme="minorBidi"/>
                <w:b/>
                <w:bCs/>
                <w:sz w:val="24"/>
                <w:szCs w:val="24"/>
              </w:rPr>
              <w:t>20%</w:t>
            </w:r>
          </w:p>
        </w:tc>
        <w:tc>
          <w:tcPr>
            <w:tcW w:w="1216" w:type="dxa"/>
          </w:tcPr>
          <w:p w14:paraId="5EF45E37" w14:textId="2A2B529A" w:rsidR="0A3BC8CA" w:rsidRDefault="0A3BC8CA" w:rsidP="0A3BC8CA">
            <w:pPr>
              <w:rPr>
                <w:rFonts w:asciiTheme="minorHAnsi" w:eastAsiaTheme="minorEastAsia" w:hAnsiTheme="minorHAnsi" w:cstheme="minorBidi"/>
                <w:b/>
                <w:bCs/>
                <w:sz w:val="24"/>
                <w:szCs w:val="24"/>
              </w:rPr>
            </w:pPr>
            <w:r w:rsidRPr="0A3BC8CA">
              <w:rPr>
                <w:rFonts w:asciiTheme="minorHAnsi" w:eastAsiaTheme="minorEastAsia" w:hAnsiTheme="minorHAnsi" w:cstheme="minorBidi"/>
                <w:b/>
                <w:bCs/>
                <w:sz w:val="24"/>
                <w:szCs w:val="24"/>
              </w:rPr>
              <w:t>0%</w:t>
            </w:r>
          </w:p>
        </w:tc>
      </w:tr>
    </w:tbl>
    <w:p w14:paraId="19B1C8F3" w14:textId="2E5F56FD" w:rsidR="6150DB48" w:rsidRDefault="6150DB48" w:rsidP="0A3BC8CA">
      <w:pPr>
        <w:rPr>
          <w:rFonts w:eastAsiaTheme="minorEastAsia"/>
          <w:b/>
          <w:bCs/>
          <w:i/>
          <w:iCs/>
          <w:sz w:val="24"/>
          <w:szCs w:val="24"/>
        </w:rPr>
      </w:pPr>
    </w:p>
    <w:p w14:paraId="2AF9A5C7" w14:textId="27DA3B49" w:rsidR="6150DB48" w:rsidRDefault="0A3BC8CA" w:rsidP="0A3BC8CA">
      <w:pPr>
        <w:rPr>
          <w:rFonts w:eastAsiaTheme="minorEastAsia"/>
          <w:b/>
          <w:bCs/>
          <w:i/>
          <w:iCs/>
          <w:sz w:val="24"/>
          <w:szCs w:val="24"/>
        </w:rPr>
      </w:pPr>
      <w:r w:rsidRPr="0A3BC8CA">
        <w:rPr>
          <w:rFonts w:eastAsiaTheme="minorEastAsia"/>
          <w:sz w:val="24"/>
          <w:szCs w:val="24"/>
        </w:rPr>
        <w:t xml:space="preserve">While acknowledging the small enrollment for our OER scaling implementation semester Spring 2022, the chart above illustrates that students identifying as black or African-American, as well as those identifying as Asian-American or Pacific Islander, reached higher levels of pass rate achievement as a cohort. As the table below shows, the greatest equity gains are for our black/AA students, as AA students have routinely performed below the average pass rate level. Notably, white students did unusually poorly during Spring 2022 semester; however, given the low n, this should not necessarily suggest a larger trend. </w:t>
      </w:r>
    </w:p>
    <w:p w14:paraId="1942D2C3" w14:textId="5BF9C629" w:rsidR="6150DB48" w:rsidRDefault="6150DB48" w:rsidP="0A3BC8CA">
      <w:pPr>
        <w:rPr>
          <w:rFonts w:eastAsiaTheme="minorEastAsia"/>
          <w:sz w:val="24"/>
          <w:szCs w:val="24"/>
        </w:rPr>
      </w:pPr>
    </w:p>
    <w:p w14:paraId="3607BB80" w14:textId="0DCCC6E4" w:rsidR="6150DB48" w:rsidRDefault="0A3BC8CA" w:rsidP="0A3BC8CA">
      <w:pPr>
        <w:rPr>
          <w:rFonts w:eastAsiaTheme="minorEastAsia"/>
          <w:sz w:val="24"/>
          <w:szCs w:val="24"/>
          <w:u w:val="single"/>
        </w:rPr>
      </w:pPr>
      <w:r w:rsidRPr="0A3BC8CA">
        <w:rPr>
          <w:rFonts w:eastAsiaTheme="minorEastAsia"/>
          <w:sz w:val="24"/>
          <w:szCs w:val="24"/>
          <w:u w:val="single"/>
        </w:rPr>
        <w:t>Historic Fall-to-Fall Pass Rates by Race/Ethnicity (Fall ‘21 OER textbook pilot included)</w:t>
      </w:r>
    </w:p>
    <w:p w14:paraId="0699F869" w14:textId="1CF0A5B5" w:rsidR="6150DB48" w:rsidRDefault="6150DB48" w:rsidP="6150DB48">
      <w:r>
        <w:rPr>
          <w:noProof/>
        </w:rPr>
        <w:drawing>
          <wp:inline distT="0" distB="0" distL="0" distR="0" wp14:anchorId="3D182D4E" wp14:editId="19F7DC7F">
            <wp:extent cx="5169347" cy="2143125"/>
            <wp:effectExtent l="0" t="0" r="0" b="0"/>
            <wp:docPr id="503920427" name="Picture 503920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5169347" cy="2143125"/>
                    </a:xfrm>
                    <a:prstGeom prst="rect">
                      <a:avLst/>
                    </a:prstGeom>
                  </pic:spPr>
                </pic:pic>
              </a:graphicData>
            </a:graphic>
          </wp:inline>
        </w:drawing>
      </w:r>
    </w:p>
    <w:p w14:paraId="4B0A6604" w14:textId="45DD6BF7" w:rsidR="6150DB48" w:rsidRDefault="6150DB48" w:rsidP="0A3BC8CA">
      <w:pPr>
        <w:rPr>
          <w:b/>
          <w:bCs/>
          <w:i/>
          <w:iCs/>
          <w:sz w:val="24"/>
          <w:szCs w:val="24"/>
        </w:rPr>
      </w:pPr>
    </w:p>
    <w:p w14:paraId="0E08BD74" w14:textId="22C4FE7B" w:rsidR="6150DB48" w:rsidRDefault="0A3BC8CA" w:rsidP="0A3BC8CA">
      <w:pPr>
        <w:rPr>
          <w:sz w:val="24"/>
          <w:szCs w:val="24"/>
          <w:u w:val="single"/>
        </w:rPr>
      </w:pPr>
      <w:r w:rsidRPr="0A3BC8CA">
        <w:rPr>
          <w:sz w:val="24"/>
          <w:szCs w:val="24"/>
          <w:u w:val="single"/>
        </w:rPr>
        <w:t>Spring 2022 by Pell Eligibility</w:t>
      </w:r>
    </w:p>
    <w:tbl>
      <w:tblPr>
        <w:tblStyle w:val="TableGrid"/>
        <w:tblW w:w="0" w:type="auto"/>
        <w:tblLayout w:type="fixed"/>
        <w:tblLook w:val="06A0" w:firstRow="1" w:lastRow="0" w:firstColumn="1" w:lastColumn="0" w:noHBand="1" w:noVBand="1"/>
      </w:tblPr>
      <w:tblGrid>
        <w:gridCol w:w="4680"/>
        <w:gridCol w:w="4680"/>
      </w:tblGrid>
      <w:tr w:rsidR="0A3BC8CA" w14:paraId="26244BA4" w14:textId="77777777" w:rsidTr="0A3BC8CA">
        <w:tc>
          <w:tcPr>
            <w:tcW w:w="4680" w:type="dxa"/>
            <w:shd w:val="clear" w:color="auto" w:fill="D9E2F3" w:themeFill="accent5" w:themeFillTint="33"/>
          </w:tcPr>
          <w:p w14:paraId="19585664" w14:textId="7FDB4628" w:rsidR="0A3BC8CA" w:rsidRDefault="0A3BC8CA" w:rsidP="0A3BC8CA">
            <w:pPr>
              <w:rPr>
                <w:rFonts w:asciiTheme="minorHAnsi" w:eastAsiaTheme="minorEastAsia" w:hAnsiTheme="minorHAnsi" w:cstheme="minorBidi"/>
                <w:b/>
                <w:bCs/>
                <w:sz w:val="24"/>
                <w:szCs w:val="24"/>
              </w:rPr>
            </w:pPr>
            <w:r w:rsidRPr="0A3BC8CA">
              <w:rPr>
                <w:rFonts w:asciiTheme="minorHAnsi" w:eastAsiaTheme="minorEastAsia" w:hAnsiTheme="minorHAnsi" w:cstheme="minorBidi"/>
                <w:b/>
                <w:bCs/>
                <w:sz w:val="24"/>
                <w:szCs w:val="24"/>
              </w:rPr>
              <w:t>Pell Status</w:t>
            </w:r>
          </w:p>
        </w:tc>
        <w:tc>
          <w:tcPr>
            <w:tcW w:w="4680" w:type="dxa"/>
            <w:shd w:val="clear" w:color="auto" w:fill="D9E2F3" w:themeFill="accent5" w:themeFillTint="33"/>
          </w:tcPr>
          <w:p w14:paraId="5FDD5237" w14:textId="58FF001F" w:rsidR="0A3BC8CA" w:rsidRDefault="0A3BC8CA" w:rsidP="0A3BC8CA">
            <w:pPr>
              <w:rPr>
                <w:rFonts w:asciiTheme="minorHAnsi" w:eastAsiaTheme="minorEastAsia" w:hAnsiTheme="minorHAnsi" w:cstheme="minorBidi"/>
                <w:b/>
                <w:bCs/>
                <w:sz w:val="24"/>
                <w:szCs w:val="24"/>
              </w:rPr>
            </w:pPr>
            <w:r w:rsidRPr="0A3BC8CA">
              <w:rPr>
                <w:rFonts w:asciiTheme="minorHAnsi" w:eastAsiaTheme="minorEastAsia" w:hAnsiTheme="minorHAnsi" w:cstheme="minorBidi"/>
                <w:b/>
                <w:bCs/>
                <w:sz w:val="24"/>
                <w:szCs w:val="24"/>
              </w:rPr>
              <w:t>Pass Rate</w:t>
            </w:r>
          </w:p>
        </w:tc>
      </w:tr>
      <w:tr w:rsidR="0A3BC8CA" w14:paraId="624951F9" w14:textId="77777777" w:rsidTr="0A3BC8CA">
        <w:tc>
          <w:tcPr>
            <w:tcW w:w="4680" w:type="dxa"/>
            <w:shd w:val="clear" w:color="auto" w:fill="8EAADB" w:themeFill="accent5" w:themeFillTint="99"/>
          </w:tcPr>
          <w:p w14:paraId="2024BB97" w14:textId="3318C7A1" w:rsidR="0A3BC8CA" w:rsidRDefault="0A3BC8CA" w:rsidP="0A3BC8CA">
            <w:pPr>
              <w:rPr>
                <w:rFonts w:asciiTheme="minorHAnsi" w:eastAsiaTheme="minorEastAsia" w:hAnsiTheme="minorHAnsi" w:cstheme="minorBidi"/>
                <w:b/>
                <w:bCs/>
                <w:sz w:val="24"/>
                <w:szCs w:val="24"/>
              </w:rPr>
            </w:pPr>
            <w:r w:rsidRPr="0A3BC8CA">
              <w:rPr>
                <w:rFonts w:asciiTheme="minorHAnsi" w:eastAsiaTheme="minorEastAsia" w:hAnsiTheme="minorHAnsi" w:cstheme="minorBidi"/>
                <w:b/>
                <w:bCs/>
                <w:sz w:val="24"/>
                <w:szCs w:val="24"/>
              </w:rPr>
              <w:t>Pell-eligible n=17</w:t>
            </w:r>
          </w:p>
        </w:tc>
        <w:tc>
          <w:tcPr>
            <w:tcW w:w="4680" w:type="dxa"/>
          </w:tcPr>
          <w:p w14:paraId="1711A131" w14:textId="4DB44B5E" w:rsidR="0A3BC8CA" w:rsidRDefault="0A3BC8CA" w:rsidP="0A3BC8CA">
            <w:pPr>
              <w:rPr>
                <w:rFonts w:asciiTheme="minorHAnsi" w:eastAsiaTheme="minorEastAsia" w:hAnsiTheme="minorHAnsi" w:cstheme="minorBidi"/>
                <w:b/>
                <w:bCs/>
                <w:sz w:val="24"/>
                <w:szCs w:val="24"/>
              </w:rPr>
            </w:pPr>
            <w:r w:rsidRPr="0A3BC8CA">
              <w:rPr>
                <w:rFonts w:asciiTheme="minorHAnsi" w:eastAsiaTheme="minorEastAsia" w:hAnsiTheme="minorHAnsi" w:cstheme="minorBidi"/>
                <w:b/>
                <w:bCs/>
                <w:sz w:val="24"/>
                <w:szCs w:val="24"/>
              </w:rPr>
              <w:t>65%</w:t>
            </w:r>
          </w:p>
        </w:tc>
      </w:tr>
      <w:tr w:rsidR="0A3BC8CA" w14:paraId="3597A8D8" w14:textId="77777777" w:rsidTr="0A3BC8CA">
        <w:tc>
          <w:tcPr>
            <w:tcW w:w="4680" w:type="dxa"/>
            <w:shd w:val="clear" w:color="auto" w:fill="8EAADB" w:themeFill="accent5" w:themeFillTint="99"/>
          </w:tcPr>
          <w:p w14:paraId="0BFCC921" w14:textId="4D34841E" w:rsidR="0A3BC8CA" w:rsidRDefault="0A3BC8CA" w:rsidP="0A3BC8CA">
            <w:pPr>
              <w:rPr>
                <w:rFonts w:asciiTheme="minorHAnsi" w:eastAsiaTheme="minorEastAsia" w:hAnsiTheme="minorHAnsi" w:cstheme="minorBidi"/>
                <w:b/>
                <w:bCs/>
                <w:sz w:val="24"/>
                <w:szCs w:val="24"/>
              </w:rPr>
            </w:pPr>
            <w:r w:rsidRPr="0A3BC8CA">
              <w:rPr>
                <w:rFonts w:asciiTheme="minorHAnsi" w:eastAsiaTheme="minorEastAsia" w:hAnsiTheme="minorHAnsi" w:cstheme="minorBidi"/>
                <w:b/>
                <w:bCs/>
                <w:sz w:val="24"/>
                <w:szCs w:val="24"/>
              </w:rPr>
              <w:t>Non-Pell-eligible n= 15</w:t>
            </w:r>
          </w:p>
        </w:tc>
        <w:tc>
          <w:tcPr>
            <w:tcW w:w="4680" w:type="dxa"/>
          </w:tcPr>
          <w:p w14:paraId="24C6CAA3" w14:textId="4FC0415F" w:rsidR="0A3BC8CA" w:rsidRDefault="0A3BC8CA" w:rsidP="0A3BC8CA">
            <w:pPr>
              <w:rPr>
                <w:rFonts w:asciiTheme="minorHAnsi" w:eastAsiaTheme="minorEastAsia" w:hAnsiTheme="minorHAnsi" w:cstheme="minorBidi"/>
                <w:b/>
                <w:bCs/>
                <w:sz w:val="24"/>
                <w:szCs w:val="24"/>
              </w:rPr>
            </w:pPr>
            <w:r w:rsidRPr="0A3BC8CA">
              <w:rPr>
                <w:rFonts w:asciiTheme="minorHAnsi" w:eastAsiaTheme="minorEastAsia" w:hAnsiTheme="minorHAnsi" w:cstheme="minorBidi"/>
                <w:b/>
                <w:bCs/>
                <w:sz w:val="24"/>
                <w:szCs w:val="24"/>
              </w:rPr>
              <w:t>40%</w:t>
            </w:r>
          </w:p>
        </w:tc>
      </w:tr>
    </w:tbl>
    <w:p w14:paraId="54604576" w14:textId="32AAD2A3" w:rsidR="6150DB48" w:rsidRDefault="6150DB48" w:rsidP="0A3BC8CA">
      <w:pPr>
        <w:rPr>
          <w:rFonts w:eastAsiaTheme="minorEastAsia"/>
          <w:sz w:val="24"/>
          <w:szCs w:val="24"/>
        </w:rPr>
      </w:pPr>
    </w:p>
    <w:p w14:paraId="4758E478" w14:textId="5024FE23" w:rsidR="6150DB48" w:rsidRDefault="0A3BC8CA" w:rsidP="0A3BC8CA">
      <w:pPr>
        <w:rPr>
          <w:rFonts w:eastAsiaTheme="minorEastAsia"/>
          <w:sz w:val="24"/>
          <w:szCs w:val="24"/>
        </w:rPr>
      </w:pPr>
      <w:r w:rsidRPr="0A3BC8CA">
        <w:rPr>
          <w:rFonts w:eastAsiaTheme="minorEastAsia"/>
          <w:sz w:val="24"/>
          <w:szCs w:val="24"/>
        </w:rPr>
        <w:t>According to the table above, Pell-eligible students taking GGC 1000 in Spring 2022 passed at a 25% higher rate than non-Pell-eligible students. There may be some correlation between access to the free OER textbook and academic success for financially at-need students, but these numbers and rates need to be tracked longitudinally and for a larger group of students to be more determinant. Historic pass rates by Pell status also show a slight equity benefit when the D2L template course with TiLTed (Transparency in Learning and Teaching) assignment sheets, embedded learning resources, and the OER textbook was implemented across course sections.</w:t>
      </w:r>
    </w:p>
    <w:p w14:paraId="251A4007" w14:textId="1BDD8C39" w:rsidR="6150DB48" w:rsidRDefault="6150DB48" w:rsidP="0A3BC8CA">
      <w:pPr>
        <w:rPr>
          <w:b/>
          <w:bCs/>
          <w:i/>
          <w:iCs/>
          <w:sz w:val="24"/>
          <w:szCs w:val="24"/>
        </w:rPr>
      </w:pPr>
    </w:p>
    <w:p w14:paraId="0E52DB44" w14:textId="35C58EEE" w:rsidR="6150DB48" w:rsidRDefault="0A3BC8CA" w:rsidP="0A3BC8CA">
      <w:pPr>
        <w:rPr>
          <w:rFonts w:eastAsiaTheme="minorEastAsia"/>
          <w:sz w:val="24"/>
          <w:szCs w:val="24"/>
          <w:u w:val="single"/>
        </w:rPr>
      </w:pPr>
      <w:r w:rsidRPr="0A3BC8CA">
        <w:rPr>
          <w:rFonts w:eastAsiaTheme="minorEastAsia"/>
          <w:sz w:val="24"/>
          <w:szCs w:val="24"/>
          <w:u w:val="single"/>
        </w:rPr>
        <w:t>Historic Fall-to-Fall Pass Rates by Pell Status (Fall ‘21 OER textbook pilot included)</w:t>
      </w:r>
    </w:p>
    <w:p w14:paraId="2DF2B50A" w14:textId="5E0714D3" w:rsidR="6150DB48" w:rsidRDefault="6150DB48" w:rsidP="6150DB48">
      <w:r>
        <w:rPr>
          <w:noProof/>
        </w:rPr>
        <w:lastRenderedPageBreak/>
        <w:drawing>
          <wp:inline distT="0" distB="0" distL="0" distR="0" wp14:anchorId="0973AF6D" wp14:editId="7C24D54B">
            <wp:extent cx="5162550" cy="2140307"/>
            <wp:effectExtent l="0" t="0" r="0" b="0"/>
            <wp:docPr id="1791294355" name="Picture 1791294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5162550" cy="2140307"/>
                    </a:xfrm>
                    <a:prstGeom prst="rect">
                      <a:avLst/>
                    </a:prstGeom>
                  </pic:spPr>
                </pic:pic>
              </a:graphicData>
            </a:graphic>
          </wp:inline>
        </w:drawing>
      </w:r>
    </w:p>
    <w:p w14:paraId="4897AE3E" w14:textId="4E960F21" w:rsidR="6150DB48" w:rsidRDefault="0A3BC8CA" w:rsidP="0A3BC8CA">
      <w:pPr>
        <w:rPr>
          <w:b/>
          <w:bCs/>
          <w:sz w:val="24"/>
          <w:szCs w:val="24"/>
        </w:rPr>
      </w:pPr>
      <w:r w:rsidRPr="0A3BC8CA">
        <w:rPr>
          <w:sz w:val="24"/>
          <w:szCs w:val="24"/>
        </w:rPr>
        <w:t xml:space="preserve">When considering impact of the OER textbook for students who are Pell Eligible, it is worth noting that during Fall 2020, when the D2L template course was implemented, we saw an evening out in pass rate performance between Pell-eligible and non-Pell-eligible students. In Fall 2021, when the OER textbook was embedded in the template course for 7/18 sections, we saw Pell-Eligible students pass at slightly higher rates than their non-Pell-eligible peers. </w:t>
      </w:r>
    </w:p>
    <w:p w14:paraId="46C0B1D8" w14:textId="168086BB" w:rsidR="6150DB48" w:rsidRDefault="0A3BC8CA" w:rsidP="6150DB48">
      <w:pPr>
        <w:rPr>
          <w:b/>
          <w:bCs/>
          <w:sz w:val="24"/>
          <w:szCs w:val="24"/>
        </w:rPr>
      </w:pPr>
      <w:r w:rsidRPr="0A3BC8CA">
        <w:rPr>
          <w:b/>
          <w:bCs/>
          <w:i/>
          <w:iCs/>
          <w:sz w:val="24"/>
          <w:szCs w:val="24"/>
        </w:rPr>
        <w:t>Student End of Semester Survey Responses</w:t>
      </w:r>
    </w:p>
    <w:p w14:paraId="04E8ED64" w14:textId="0C1963AF" w:rsidR="6150DB48" w:rsidRDefault="6150DB48" w:rsidP="6150DB48">
      <w:pPr>
        <w:rPr>
          <w:b/>
          <w:bCs/>
          <w:sz w:val="24"/>
          <w:szCs w:val="24"/>
        </w:rPr>
      </w:pPr>
      <w:r w:rsidRPr="6150DB48">
        <w:rPr>
          <w:sz w:val="24"/>
          <w:szCs w:val="24"/>
        </w:rPr>
        <w:t xml:space="preserve">Students were encouraged to access via email link and then complete the GGC 1000 End of Semester Survey (hosted by Qualtrics). Out of 101 possible students in the Fall 2021 pilot, 17 participated. Out of the 32 possible students in the Spring 2022 scaled semester, 6 participated. Therefore, response rates were respectively 16% and 19%, illustrating a less than statistically significant representation. This affected our ability to reach any firm conclusions about impact and have any sizable disaggregation of participants. </w:t>
      </w:r>
    </w:p>
    <w:p w14:paraId="7147727D" w14:textId="4AE14092" w:rsidR="6150DB48" w:rsidRDefault="0A3BC8CA" w:rsidP="0A3BC8CA">
      <w:pPr>
        <w:rPr>
          <w:b/>
          <w:bCs/>
          <w:sz w:val="24"/>
          <w:szCs w:val="24"/>
        </w:rPr>
      </w:pPr>
      <w:r w:rsidRPr="0A3BC8CA">
        <w:rPr>
          <w:sz w:val="24"/>
          <w:szCs w:val="24"/>
        </w:rPr>
        <w:t>Six statements related to the OER textbook were included on the surveys, with attitudinal responses registered on a 5-point Likert scale from Strongly Agree to Strongly Disagree. Those statements were:</w:t>
      </w:r>
    </w:p>
    <w:p w14:paraId="45E5635D" w14:textId="6077314F" w:rsidR="0A3BC8CA" w:rsidRDefault="0A3BC8CA" w:rsidP="0A3BC8CA">
      <w:pPr>
        <w:pStyle w:val="ListParagraph"/>
        <w:numPr>
          <w:ilvl w:val="0"/>
          <w:numId w:val="1"/>
        </w:numPr>
        <w:rPr>
          <w:rFonts w:eastAsiaTheme="minorEastAsia"/>
          <w:sz w:val="24"/>
          <w:szCs w:val="24"/>
        </w:rPr>
      </w:pPr>
      <w:r w:rsidRPr="0A3BC8CA">
        <w:rPr>
          <w:sz w:val="24"/>
          <w:szCs w:val="24"/>
        </w:rPr>
        <w:t>I am satisfied with the current textbook costs associated with the course.</w:t>
      </w:r>
    </w:p>
    <w:p w14:paraId="29E77A5E" w14:textId="14314CF3" w:rsidR="0A3BC8CA" w:rsidRDefault="0A3BC8CA" w:rsidP="0A3BC8CA">
      <w:pPr>
        <w:pStyle w:val="ListParagraph"/>
        <w:numPr>
          <w:ilvl w:val="0"/>
          <w:numId w:val="1"/>
        </w:numPr>
        <w:rPr>
          <w:rFonts w:eastAsiaTheme="minorEastAsia"/>
          <w:sz w:val="24"/>
          <w:szCs w:val="24"/>
        </w:rPr>
      </w:pPr>
      <w:r w:rsidRPr="0A3BC8CA">
        <w:rPr>
          <w:sz w:val="24"/>
          <w:szCs w:val="24"/>
        </w:rPr>
        <w:t>The textbook was easy to read.</w:t>
      </w:r>
    </w:p>
    <w:p w14:paraId="3C89C8D2" w14:textId="26C9A1DE" w:rsidR="0A3BC8CA" w:rsidRDefault="0A3BC8CA" w:rsidP="0A3BC8CA">
      <w:pPr>
        <w:pStyle w:val="ListParagraph"/>
        <w:numPr>
          <w:ilvl w:val="0"/>
          <w:numId w:val="1"/>
        </w:numPr>
        <w:rPr>
          <w:rFonts w:eastAsiaTheme="minorEastAsia"/>
          <w:sz w:val="24"/>
          <w:szCs w:val="24"/>
        </w:rPr>
      </w:pPr>
      <w:r w:rsidRPr="0A3BC8CA">
        <w:rPr>
          <w:sz w:val="24"/>
          <w:szCs w:val="24"/>
        </w:rPr>
        <w:t>I used the textbook frequently throughout the semester.</w:t>
      </w:r>
    </w:p>
    <w:p w14:paraId="38009AD5" w14:textId="30B1F432" w:rsidR="0A3BC8CA" w:rsidRDefault="0A3BC8CA" w:rsidP="0A3BC8CA">
      <w:pPr>
        <w:pStyle w:val="ListParagraph"/>
        <w:numPr>
          <w:ilvl w:val="0"/>
          <w:numId w:val="1"/>
        </w:numPr>
        <w:rPr>
          <w:rFonts w:eastAsiaTheme="minorEastAsia"/>
          <w:sz w:val="24"/>
          <w:szCs w:val="24"/>
        </w:rPr>
      </w:pPr>
      <w:r w:rsidRPr="0A3BC8CA">
        <w:rPr>
          <w:sz w:val="24"/>
          <w:szCs w:val="24"/>
        </w:rPr>
        <w:t>I was able to access my course materials for GGC 1000 in a timely fashion.</w:t>
      </w:r>
    </w:p>
    <w:p w14:paraId="3C07B070" w14:textId="417EB288" w:rsidR="0A3BC8CA" w:rsidRDefault="0A3BC8CA" w:rsidP="0A3BC8CA">
      <w:pPr>
        <w:pStyle w:val="ListParagraph"/>
        <w:numPr>
          <w:ilvl w:val="0"/>
          <w:numId w:val="1"/>
        </w:numPr>
        <w:rPr>
          <w:rFonts w:eastAsiaTheme="minorEastAsia"/>
          <w:sz w:val="24"/>
          <w:szCs w:val="24"/>
        </w:rPr>
      </w:pPr>
      <w:r w:rsidRPr="0A3BC8CA">
        <w:rPr>
          <w:sz w:val="24"/>
          <w:szCs w:val="24"/>
        </w:rPr>
        <w:t>Having a free (no-cost) GGC 1000 textbook increased my ability to succeed in this course.</w:t>
      </w:r>
    </w:p>
    <w:p w14:paraId="21204BF1" w14:textId="59076A21" w:rsidR="0A3BC8CA" w:rsidRDefault="0A3BC8CA" w:rsidP="0A3BC8CA">
      <w:pPr>
        <w:pStyle w:val="ListParagraph"/>
        <w:numPr>
          <w:ilvl w:val="0"/>
          <w:numId w:val="1"/>
        </w:numPr>
        <w:rPr>
          <w:rFonts w:eastAsiaTheme="minorEastAsia"/>
          <w:sz w:val="24"/>
          <w:szCs w:val="24"/>
        </w:rPr>
      </w:pPr>
      <w:r w:rsidRPr="0A3BC8CA">
        <w:rPr>
          <w:sz w:val="24"/>
          <w:szCs w:val="24"/>
        </w:rPr>
        <w:t>The textbook helps me to understand the content taught in the course.</w:t>
      </w:r>
    </w:p>
    <w:p w14:paraId="4513F91C" w14:textId="2D0953BC" w:rsidR="6150DB48" w:rsidRDefault="6150DB48" w:rsidP="6150DB48">
      <w:pPr>
        <w:rPr>
          <w:sz w:val="24"/>
          <w:szCs w:val="24"/>
        </w:rPr>
      </w:pPr>
    </w:p>
    <w:p w14:paraId="59915E1A" w14:textId="59D943A3" w:rsidR="6150DB48" w:rsidRDefault="6150DB48" w:rsidP="6150DB48">
      <w:r>
        <w:rPr>
          <w:noProof/>
        </w:rPr>
        <w:lastRenderedPageBreak/>
        <w:drawing>
          <wp:inline distT="0" distB="0" distL="0" distR="0" wp14:anchorId="2EC8E74C" wp14:editId="0E5DF2D2">
            <wp:extent cx="4572000" cy="2695575"/>
            <wp:effectExtent l="0" t="0" r="0" b="0"/>
            <wp:docPr id="1336380387" name="Picture 1336380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4572000" cy="2695575"/>
                    </a:xfrm>
                    <a:prstGeom prst="rect">
                      <a:avLst/>
                    </a:prstGeom>
                  </pic:spPr>
                </pic:pic>
              </a:graphicData>
            </a:graphic>
          </wp:inline>
        </w:drawing>
      </w:r>
    </w:p>
    <w:p w14:paraId="6B81C847" w14:textId="6BCBEAC1" w:rsidR="6150DB48" w:rsidRDefault="6150DB48" w:rsidP="6150DB48">
      <w:r>
        <w:rPr>
          <w:noProof/>
        </w:rPr>
        <w:drawing>
          <wp:inline distT="0" distB="0" distL="0" distR="0" wp14:anchorId="65D19555" wp14:editId="425CBD48">
            <wp:extent cx="4572000" cy="2809875"/>
            <wp:effectExtent l="0" t="0" r="0" b="0"/>
            <wp:docPr id="1152560254" name="Picture 1152560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4572000" cy="2809875"/>
                    </a:xfrm>
                    <a:prstGeom prst="rect">
                      <a:avLst/>
                    </a:prstGeom>
                  </pic:spPr>
                </pic:pic>
              </a:graphicData>
            </a:graphic>
          </wp:inline>
        </w:drawing>
      </w:r>
    </w:p>
    <w:p w14:paraId="745238A8" w14:textId="0D357AD2" w:rsidR="6150DB48" w:rsidRDefault="0A3BC8CA" w:rsidP="0A3BC8CA">
      <w:pPr>
        <w:rPr>
          <w:b/>
          <w:bCs/>
          <w:sz w:val="24"/>
          <w:szCs w:val="24"/>
        </w:rPr>
      </w:pPr>
      <w:r w:rsidRPr="0A3BC8CA">
        <w:rPr>
          <w:sz w:val="24"/>
          <w:szCs w:val="24"/>
        </w:rPr>
        <w:t xml:space="preserve">While survey completion rates were low, the response patterns among the participants were fairly consistent, even between semesters, suggesting a moderate degree of reliability about the textbook’s general impact on GGC 1000 students. Students reported being mostly satisfied with the cost (zero), readability, use value, access, success support, and content comprehension factors for the </w:t>
      </w:r>
      <w:r w:rsidRPr="0A3BC8CA">
        <w:rPr>
          <w:i/>
          <w:iCs/>
          <w:sz w:val="24"/>
          <w:szCs w:val="24"/>
        </w:rPr>
        <w:t xml:space="preserve">Steps to Success </w:t>
      </w:r>
      <w:r w:rsidRPr="0A3BC8CA">
        <w:rPr>
          <w:sz w:val="24"/>
          <w:szCs w:val="24"/>
        </w:rPr>
        <w:t>OER textbook.</w:t>
      </w:r>
    </w:p>
    <w:p w14:paraId="22A2273D" w14:textId="1456AD81" w:rsidR="6150DB48" w:rsidRDefault="6150DB48" w:rsidP="6150DB48">
      <w:pPr>
        <w:rPr>
          <w:b/>
          <w:bCs/>
          <w:sz w:val="24"/>
          <w:szCs w:val="24"/>
        </w:rPr>
      </w:pPr>
      <w:r w:rsidRPr="6150DB48">
        <w:rPr>
          <w:b/>
          <w:bCs/>
          <w:i/>
          <w:iCs/>
          <w:sz w:val="24"/>
          <w:szCs w:val="24"/>
        </w:rPr>
        <w:t>Student Focus Groups</w:t>
      </w:r>
    </w:p>
    <w:p w14:paraId="3C53E1AC" w14:textId="0CA7C02C" w:rsidR="6150DB48" w:rsidRDefault="0A3BC8CA" w:rsidP="0A3BC8CA">
      <w:pPr>
        <w:rPr>
          <w:b/>
          <w:bCs/>
          <w:i/>
          <w:iCs/>
          <w:sz w:val="24"/>
          <w:szCs w:val="24"/>
        </w:rPr>
      </w:pPr>
      <w:r w:rsidRPr="0A3BC8CA">
        <w:rPr>
          <w:sz w:val="24"/>
          <w:szCs w:val="24"/>
        </w:rPr>
        <w:t>Despite best efforts to advertise, encourage, and recruit students for the focus groups, we were unsuccessful in getting voluntary participation in either the pilot or scaling semesters. Please see Lessons Learned section for reflection on how to adapt strategies going forward for gaining participation.</w:t>
      </w:r>
    </w:p>
    <w:p w14:paraId="4CE6C056" w14:textId="1B6D133A" w:rsidR="6150DB48" w:rsidRDefault="6150DB48" w:rsidP="6150DB48">
      <w:pPr>
        <w:rPr>
          <w:b/>
          <w:bCs/>
          <w:sz w:val="24"/>
          <w:szCs w:val="24"/>
        </w:rPr>
      </w:pPr>
      <w:r w:rsidRPr="6150DB48">
        <w:rPr>
          <w:b/>
          <w:bCs/>
          <w:i/>
          <w:iCs/>
          <w:sz w:val="24"/>
          <w:szCs w:val="24"/>
        </w:rPr>
        <w:lastRenderedPageBreak/>
        <w:t>Faculty Survey Responses</w:t>
      </w:r>
    </w:p>
    <w:p w14:paraId="2CD7C0DA" w14:textId="6A766F7F" w:rsidR="6150DB48" w:rsidRDefault="6150DB48" w:rsidP="6150DB48">
      <w:pPr>
        <w:rPr>
          <w:sz w:val="24"/>
          <w:szCs w:val="24"/>
        </w:rPr>
      </w:pPr>
      <w:r w:rsidRPr="6150DB48">
        <w:rPr>
          <w:sz w:val="24"/>
          <w:szCs w:val="24"/>
        </w:rPr>
        <w:t>In spring 2022, our scaled semester for the OER textbook, the two faculty members who were not part of the grant team were surveyed using the questions noted in our proposal. They constituted 50% of the teaching cohort for our scaled semester of implementation.</w:t>
      </w:r>
    </w:p>
    <w:p w14:paraId="5657DA1F" w14:textId="6BC69932" w:rsidR="6150DB48" w:rsidRDefault="6150DB48" w:rsidP="6150DB48">
      <w:pPr>
        <w:rPr>
          <w:rFonts w:ascii="Calibri" w:eastAsia="Calibri" w:hAnsi="Calibri" w:cs="Calibri"/>
          <w:sz w:val="24"/>
          <w:szCs w:val="24"/>
        </w:rPr>
      </w:pPr>
      <w:r w:rsidRPr="6150DB48">
        <w:rPr>
          <w:rFonts w:ascii="Calibri" w:eastAsia="Calibri" w:hAnsi="Calibri" w:cs="Calibri"/>
          <w:sz w:val="24"/>
          <w:szCs w:val="24"/>
        </w:rPr>
        <w:t>The results were as follows:</w:t>
      </w:r>
    </w:p>
    <w:p w14:paraId="1BECCEF3" w14:textId="51F3927C" w:rsidR="6150DB48" w:rsidRDefault="6150DB48" w:rsidP="6150DB48">
      <w:r w:rsidRPr="6150DB48">
        <w:rPr>
          <w:rFonts w:ascii="Calibri" w:eastAsia="Calibri" w:hAnsi="Calibri" w:cs="Calibri"/>
          <w:b/>
          <w:bCs/>
          <w:sz w:val="24"/>
          <w:szCs w:val="24"/>
        </w:rPr>
        <w:t>1. How did the OER impact student success and engagement in your class?</w:t>
      </w:r>
    </w:p>
    <w:p w14:paraId="406969DF" w14:textId="39257837" w:rsidR="6150DB48" w:rsidRDefault="6150DB48" w:rsidP="6150DB48">
      <w:pPr>
        <w:rPr>
          <w:rFonts w:ascii="Calibri" w:eastAsia="Calibri" w:hAnsi="Calibri" w:cs="Calibri"/>
          <w:b/>
          <w:bCs/>
          <w:sz w:val="24"/>
          <w:szCs w:val="24"/>
        </w:rPr>
      </w:pPr>
      <w:r w:rsidRPr="6150DB48">
        <w:rPr>
          <w:rFonts w:ascii="Calibri" w:eastAsia="Calibri" w:hAnsi="Calibri" w:cs="Calibri"/>
          <w:sz w:val="24"/>
          <w:szCs w:val="24"/>
        </w:rPr>
        <w:t>A. Students had immediate access to their book for successful completion of reading and related assignments.</w:t>
      </w:r>
    </w:p>
    <w:tbl>
      <w:tblPr>
        <w:tblStyle w:val="TableGrid"/>
        <w:tblW w:w="0" w:type="auto"/>
        <w:tblLayout w:type="fixed"/>
        <w:tblLook w:val="06A0" w:firstRow="1" w:lastRow="0" w:firstColumn="1" w:lastColumn="0" w:noHBand="1" w:noVBand="1"/>
      </w:tblPr>
      <w:tblGrid>
        <w:gridCol w:w="9360"/>
      </w:tblGrid>
      <w:tr w:rsidR="6150DB48" w14:paraId="791DC7F7" w14:textId="77777777" w:rsidTr="6150DB48">
        <w:trPr>
          <w:trHeight w:val="285"/>
        </w:trPr>
        <w:tc>
          <w:tcPr>
            <w:tcW w:w="9360" w:type="dxa"/>
            <w:tcBorders>
              <w:top w:val="nil"/>
              <w:left w:val="nil"/>
              <w:bottom w:val="nil"/>
              <w:right w:val="nil"/>
            </w:tcBorders>
            <w:vAlign w:val="bottom"/>
          </w:tcPr>
          <w:p w14:paraId="4289B276" w14:textId="3680791F" w:rsidR="6150DB48" w:rsidRDefault="6150DB48" w:rsidP="6150DB48">
            <w:pPr>
              <w:ind w:left="-90"/>
              <w:rPr>
                <w:rFonts w:ascii="Calibri" w:eastAsia="Calibri" w:hAnsi="Calibri" w:cs="Calibri"/>
                <w:color w:val="000000" w:themeColor="text1"/>
                <w:sz w:val="24"/>
                <w:szCs w:val="24"/>
              </w:rPr>
            </w:pPr>
            <w:r w:rsidRPr="6150DB48">
              <w:rPr>
                <w:rFonts w:ascii="Calibri" w:eastAsia="Calibri" w:hAnsi="Calibri" w:cs="Calibri"/>
                <w:color w:val="000000" w:themeColor="text1"/>
                <w:sz w:val="24"/>
                <w:szCs w:val="24"/>
              </w:rPr>
              <w:t>B. Not sure - never got questions or comments. I think those who read it were more successful on the quizzes.</w:t>
            </w:r>
          </w:p>
        </w:tc>
      </w:tr>
    </w:tbl>
    <w:p w14:paraId="6306BB39" w14:textId="337B9A0E" w:rsidR="6150DB48" w:rsidRDefault="6150DB48" w:rsidP="6150DB48">
      <w:pPr>
        <w:rPr>
          <w:rFonts w:ascii="Calibri" w:eastAsia="Calibri" w:hAnsi="Calibri" w:cs="Calibri"/>
          <w:b/>
          <w:bCs/>
          <w:sz w:val="24"/>
          <w:szCs w:val="24"/>
        </w:rPr>
      </w:pPr>
    </w:p>
    <w:p w14:paraId="4014238C" w14:textId="663A733E" w:rsidR="6150DB48" w:rsidRDefault="6150DB48" w:rsidP="6150DB48">
      <w:pPr>
        <w:rPr>
          <w:rFonts w:ascii="Calibri" w:eastAsia="Calibri" w:hAnsi="Calibri" w:cs="Calibri"/>
          <w:b/>
          <w:bCs/>
          <w:sz w:val="24"/>
          <w:szCs w:val="24"/>
        </w:rPr>
      </w:pPr>
      <w:r w:rsidRPr="6150DB48">
        <w:rPr>
          <w:rFonts w:ascii="Calibri" w:eastAsia="Calibri" w:hAnsi="Calibri" w:cs="Calibri"/>
          <w:b/>
          <w:bCs/>
          <w:sz w:val="24"/>
          <w:szCs w:val="24"/>
        </w:rPr>
        <w:t>2. What feedback did your students give you on the OER?</w:t>
      </w:r>
    </w:p>
    <w:p w14:paraId="76B930C0" w14:textId="49D6BA37" w:rsidR="6150DB48" w:rsidRDefault="6150DB48" w:rsidP="6150DB48">
      <w:pPr>
        <w:rPr>
          <w:rFonts w:ascii="Calibri" w:eastAsia="Calibri" w:hAnsi="Calibri" w:cs="Calibri"/>
          <w:sz w:val="24"/>
          <w:szCs w:val="24"/>
        </w:rPr>
      </w:pPr>
      <w:r w:rsidRPr="6150DB48">
        <w:rPr>
          <w:rFonts w:ascii="Calibri" w:eastAsia="Calibri" w:hAnsi="Calibri" w:cs="Calibri"/>
          <w:sz w:val="24"/>
          <w:szCs w:val="24"/>
        </w:rPr>
        <w:t>A. The only feedback I received was the appreciation of access at no cost.</w:t>
      </w:r>
    </w:p>
    <w:tbl>
      <w:tblPr>
        <w:tblStyle w:val="TableGrid"/>
        <w:tblW w:w="0" w:type="auto"/>
        <w:tblLayout w:type="fixed"/>
        <w:tblLook w:val="06A0" w:firstRow="1" w:lastRow="0" w:firstColumn="1" w:lastColumn="0" w:noHBand="1" w:noVBand="1"/>
      </w:tblPr>
      <w:tblGrid>
        <w:gridCol w:w="9360"/>
      </w:tblGrid>
      <w:tr w:rsidR="6150DB48" w14:paraId="600AB0AF" w14:textId="77777777" w:rsidTr="6150DB48">
        <w:trPr>
          <w:trHeight w:val="285"/>
        </w:trPr>
        <w:tc>
          <w:tcPr>
            <w:tcW w:w="9360" w:type="dxa"/>
            <w:tcBorders>
              <w:top w:val="nil"/>
              <w:left w:val="nil"/>
              <w:bottom w:val="nil"/>
              <w:right w:val="nil"/>
            </w:tcBorders>
            <w:vAlign w:val="bottom"/>
          </w:tcPr>
          <w:p w14:paraId="3867C38D" w14:textId="1D392638" w:rsidR="6150DB48" w:rsidRDefault="6150DB48" w:rsidP="6150DB48">
            <w:pPr>
              <w:ind w:left="-90"/>
              <w:rPr>
                <w:rFonts w:ascii="Calibri" w:eastAsia="Calibri" w:hAnsi="Calibri" w:cs="Calibri"/>
                <w:color w:val="000000" w:themeColor="text1"/>
                <w:sz w:val="24"/>
                <w:szCs w:val="24"/>
              </w:rPr>
            </w:pPr>
            <w:r w:rsidRPr="6150DB48">
              <w:rPr>
                <w:rFonts w:ascii="Calibri" w:eastAsia="Calibri" w:hAnsi="Calibri" w:cs="Calibri"/>
                <w:color w:val="000000" w:themeColor="text1"/>
                <w:sz w:val="24"/>
                <w:szCs w:val="24"/>
              </w:rPr>
              <w:t>B. The only feedback I got was from an FN student that the course was "too hard" and took "too much time"</w:t>
            </w:r>
          </w:p>
        </w:tc>
      </w:tr>
    </w:tbl>
    <w:p w14:paraId="212B1D9C" w14:textId="27CECA45" w:rsidR="6150DB48" w:rsidRDefault="6150DB48" w:rsidP="6150DB48">
      <w:pPr>
        <w:rPr>
          <w:rFonts w:ascii="Calibri" w:eastAsia="Calibri" w:hAnsi="Calibri" w:cs="Calibri"/>
          <w:b/>
          <w:bCs/>
          <w:sz w:val="24"/>
          <w:szCs w:val="24"/>
        </w:rPr>
      </w:pPr>
    </w:p>
    <w:p w14:paraId="105F7B89" w14:textId="2ADB7CBF" w:rsidR="6150DB48" w:rsidRDefault="6150DB48" w:rsidP="6150DB48">
      <w:pPr>
        <w:rPr>
          <w:rFonts w:ascii="Calibri" w:eastAsia="Calibri" w:hAnsi="Calibri" w:cs="Calibri"/>
          <w:b/>
          <w:bCs/>
          <w:sz w:val="24"/>
          <w:szCs w:val="24"/>
        </w:rPr>
      </w:pPr>
      <w:r w:rsidRPr="6150DB48">
        <w:rPr>
          <w:rFonts w:ascii="Calibri" w:eastAsia="Calibri" w:hAnsi="Calibri" w:cs="Calibri"/>
          <w:b/>
          <w:bCs/>
          <w:sz w:val="24"/>
          <w:szCs w:val="24"/>
        </w:rPr>
        <w:t xml:space="preserve">3. What was the modality of your course (face-to-face, hybrid, online synchronous, or online asynchronous)? </w:t>
      </w:r>
    </w:p>
    <w:p w14:paraId="7D3A0441" w14:textId="08E3EF9C" w:rsidR="6150DB48" w:rsidRDefault="6150DB48" w:rsidP="6150DB48">
      <w:pPr>
        <w:rPr>
          <w:rFonts w:ascii="Calibri" w:eastAsia="Calibri" w:hAnsi="Calibri" w:cs="Calibri"/>
          <w:sz w:val="24"/>
          <w:szCs w:val="24"/>
        </w:rPr>
      </w:pPr>
      <w:r w:rsidRPr="6150DB48">
        <w:rPr>
          <w:rFonts w:ascii="Calibri" w:eastAsia="Calibri" w:hAnsi="Calibri" w:cs="Calibri"/>
          <w:sz w:val="24"/>
          <w:szCs w:val="24"/>
        </w:rPr>
        <w:t>A. Face-to-face</w:t>
      </w:r>
    </w:p>
    <w:p w14:paraId="688479E7" w14:textId="1D98DD2E" w:rsidR="6150DB48" w:rsidRDefault="6150DB48" w:rsidP="6150DB48">
      <w:pPr>
        <w:rPr>
          <w:rFonts w:ascii="Calibri" w:eastAsia="Calibri" w:hAnsi="Calibri" w:cs="Calibri"/>
          <w:sz w:val="24"/>
          <w:szCs w:val="24"/>
        </w:rPr>
      </w:pPr>
      <w:r w:rsidRPr="6150DB48">
        <w:rPr>
          <w:rFonts w:ascii="Calibri" w:eastAsia="Calibri" w:hAnsi="Calibri" w:cs="Calibri"/>
          <w:sz w:val="24"/>
          <w:szCs w:val="24"/>
        </w:rPr>
        <w:t>B. Face-to-face</w:t>
      </w:r>
    </w:p>
    <w:p w14:paraId="2D81DE1B" w14:textId="39EE9DDC" w:rsidR="6150DB48" w:rsidRDefault="6150DB48" w:rsidP="6150DB48">
      <w:pPr>
        <w:rPr>
          <w:rFonts w:ascii="Calibri" w:eastAsia="Calibri" w:hAnsi="Calibri" w:cs="Calibri"/>
          <w:sz w:val="24"/>
          <w:szCs w:val="24"/>
        </w:rPr>
      </w:pPr>
    </w:p>
    <w:p w14:paraId="5B3393D4" w14:textId="29CD5C03" w:rsidR="6150DB48" w:rsidRDefault="6150DB48" w:rsidP="6150DB48">
      <w:pPr>
        <w:rPr>
          <w:rFonts w:ascii="Calibri" w:eastAsia="Calibri" w:hAnsi="Calibri" w:cs="Calibri"/>
          <w:b/>
          <w:bCs/>
          <w:sz w:val="24"/>
          <w:szCs w:val="24"/>
        </w:rPr>
      </w:pPr>
      <w:r w:rsidRPr="6150DB48">
        <w:rPr>
          <w:rFonts w:ascii="Calibri" w:eastAsia="Calibri" w:hAnsi="Calibri" w:cs="Calibri"/>
          <w:b/>
          <w:bCs/>
          <w:sz w:val="24"/>
          <w:szCs w:val="24"/>
        </w:rPr>
        <w:t>4. What impact did the OER have on engagement in your course? How does this compare to student engagement in previous semesters when you taught the course in the same modality?</w:t>
      </w:r>
    </w:p>
    <w:p w14:paraId="418CA6B7" w14:textId="2BEDAEB2" w:rsidR="6150DB48" w:rsidRDefault="6150DB48" w:rsidP="6150DB48">
      <w:pPr>
        <w:rPr>
          <w:rFonts w:ascii="Calibri" w:eastAsia="Calibri" w:hAnsi="Calibri" w:cs="Calibri"/>
          <w:sz w:val="24"/>
          <w:szCs w:val="24"/>
        </w:rPr>
      </w:pPr>
      <w:r w:rsidRPr="6150DB48">
        <w:rPr>
          <w:rFonts w:ascii="Calibri" w:eastAsia="Calibri" w:hAnsi="Calibri" w:cs="Calibri"/>
          <w:sz w:val="24"/>
          <w:szCs w:val="24"/>
        </w:rPr>
        <w:t>A. I believe there was a higher rate of assignment completion by the deadlines this semester versus previous semesters taught in the same modality.</w:t>
      </w:r>
    </w:p>
    <w:p w14:paraId="4F469108" w14:textId="0D80022D" w:rsidR="6150DB48" w:rsidRDefault="6150DB48" w:rsidP="6150DB48">
      <w:pPr>
        <w:rPr>
          <w:rFonts w:ascii="Calibri" w:eastAsia="Calibri" w:hAnsi="Calibri" w:cs="Calibri"/>
          <w:sz w:val="24"/>
          <w:szCs w:val="24"/>
        </w:rPr>
      </w:pPr>
      <w:r w:rsidRPr="6150DB48">
        <w:rPr>
          <w:rFonts w:ascii="Calibri" w:eastAsia="Calibri" w:hAnsi="Calibri" w:cs="Calibri"/>
          <w:sz w:val="24"/>
          <w:szCs w:val="24"/>
        </w:rPr>
        <w:t>B. First time teaching the course</w:t>
      </w:r>
    </w:p>
    <w:p w14:paraId="1361D45F" w14:textId="63987124" w:rsidR="6150DB48" w:rsidRDefault="0A3BC8CA" w:rsidP="0A3BC8CA">
      <w:pPr>
        <w:rPr>
          <w:sz w:val="24"/>
          <w:szCs w:val="24"/>
        </w:rPr>
      </w:pPr>
      <w:r w:rsidRPr="0A3BC8CA">
        <w:rPr>
          <w:sz w:val="24"/>
          <w:szCs w:val="24"/>
        </w:rPr>
        <w:t xml:space="preserve">These results suggest anecdotal evidence of the OER textbook being a valuable resource for students, particularly due to its free cost and immediate accessibility for students. </w:t>
      </w:r>
    </w:p>
    <w:p w14:paraId="2107F97D" w14:textId="2FC17221" w:rsidR="00F70B70" w:rsidRPr="004F2656" w:rsidRDefault="6150DB48" w:rsidP="003F4D85">
      <w:pPr>
        <w:pStyle w:val="Heading1"/>
        <w:numPr>
          <w:ilvl w:val="0"/>
          <w:numId w:val="24"/>
        </w:numPr>
        <w:ind w:left="360"/>
      </w:pPr>
      <w:r>
        <w:t>Sustainability Plan</w:t>
      </w:r>
    </w:p>
    <w:p w14:paraId="36C4BC5C" w14:textId="04B7B59B" w:rsidR="00B90CC8" w:rsidRPr="003F4D85" w:rsidRDefault="6150DB48" w:rsidP="003F4D85">
      <w:pPr>
        <w:ind w:left="360"/>
        <w:rPr>
          <w:sz w:val="24"/>
          <w:szCs w:val="24"/>
        </w:rPr>
      </w:pPr>
      <w:r w:rsidRPr="6150DB48">
        <w:rPr>
          <w:i/>
          <w:iCs/>
          <w:sz w:val="24"/>
          <w:szCs w:val="24"/>
        </w:rPr>
        <w:t xml:space="preserve">Describe how your project team or department will offer the materials in the course(s) in the future, including the maintenance and updating of course materials. </w:t>
      </w:r>
    </w:p>
    <w:p w14:paraId="1B29F233" w14:textId="587A51A2" w:rsidR="6150DB48" w:rsidRDefault="6150DB48" w:rsidP="6150DB48">
      <w:pPr>
        <w:ind w:left="360"/>
        <w:rPr>
          <w:i/>
          <w:iCs/>
          <w:sz w:val="24"/>
          <w:szCs w:val="24"/>
        </w:rPr>
      </w:pPr>
      <w:r w:rsidRPr="6150DB48">
        <w:rPr>
          <w:i/>
          <w:iCs/>
          <w:sz w:val="24"/>
          <w:szCs w:val="24"/>
        </w:rPr>
        <w:lastRenderedPageBreak/>
        <w:t xml:space="preserve">Steps to Success </w:t>
      </w:r>
      <w:r w:rsidRPr="6150DB48">
        <w:rPr>
          <w:sz w:val="24"/>
          <w:szCs w:val="24"/>
        </w:rPr>
        <w:t>will be offered through GALILEO Open Learning Materials and embedded via link (if possible) in the GGC 1000 D2L template course shell. The course shell materials are reviewed by the Assoc. Dean for Student Success and CTE Associate Director after each semester for any needed updates and revisions, as recommended by the faculty and students and/or responding to changes in curriculum and delivery. As the institution considers moving to a 2- or 3-credit model for the first-year seminar, we may apply again for support to add on to or revise the textbook offering to better align it with a future incarnation of the course. The Office of Student Success (which administrates the course) and the Center for Teaching Excellence at GGC will continue to partner on this effort.</w:t>
      </w:r>
    </w:p>
    <w:p w14:paraId="5D2930F4" w14:textId="4DE0702F" w:rsidR="00471C68" w:rsidRPr="004F2656" w:rsidRDefault="6150DB48" w:rsidP="003F4D85">
      <w:pPr>
        <w:pStyle w:val="Heading1"/>
        <w:numPr>
          <w:ilvl w:val="0"/>
          <w:numId w:val="24"/>
        </w:numPr>
        <w:ind w:left="360"/>
      </w:pPr>
      <w:r>
        <w:t>Future Affordable Materials Plans</w:t>
      </w:r>
    </w:p>
    <w:p w14:paraId="40F114A6" w14:textId="2C237B6B" w:rsidR="00EE7C7E" w:rsidRPr="003F4D85" w:rsidRDefault="6150DB48" w:rsidP="6150DB48">
      <w:pPr>
        <w:ind w:left="360"/>
        <w:rPr>
          <w:b/>
          <w:bCs/>
          <w:sz w:val="24"/>
          <w:szCs w:val="24"/>
        </w:rPr>
      </w:pPr>
      <w:r w:rsidRPr="6150DB48">
        <w:rPr>
          <w:i/>
          <w:iCs/>
          <w:sz w:val="24"/>
          <w:szCs w:val="24"/>
        </w:rPr>
        <w:t>Describe any impacts or influences this project has had on your thinking about or selection of learning materials in this and other courses that you will teach in the future.</w:t>
      </w:r>
    </w:p>
    <w:p w14:paraId="21FE7F59" w14:textId="13808869" w:rsidR="6150DB48" w:rsidRDefault="6150DB48" w:rsidP="6150DB48">
      <w:pPr>
        <w:ind w:left="360"/>
        <w:rPr>
          <w:i/>
          <w:iCs/>
          <w:sz w:val="24"/>
          <w:szCs w:val="24"/>
        </w:rPr>
      </w:pPr>
      <w:r w:rsidRPr="6150DB48">
        <w:rPr>
          <w:sz w:val="24"/>
          <w:szCs w:val="24"/>
        </w:rPr>
        <w:t xml:space="preserve">Knowing our students’ significant financial challenges, and as a result of participating on this project, our team members are even more committed to exploring no-cost course text options such as those that may be available via OER materials. Having worked on an OER text has raised our awareness about what kinds of materials are available (and not available), as well as how much time and effort may be involved in customizing a book or lesson resource for a course. One of our members was part of a previous ALG/OER grant team and eagerly joined our team, seeing the value of the endeavor. Those of us new to the experience are also keeping open the possibility of pursuing future transformation grant opportunities for other classes. </w:t>
      </w:r>
    </w:p>
    <w:p w14:paraId="68427203" w14:textId="3170B244" w:rsidR="00871BC4" w:rsidRPr="00220876" w:rsidRDefault="6150DB48" w:rsidP="003F4D85">
      <w:pPr>
        <w:pStyle w:val="Heading1"/>
        <w:numPr>
          <w:ilvl w:val="0"/>
          <w:numId w:val="24"/>
        </w:numPr>
        <w:ind w:left="360"/>
      </w:pPr>
      <w:r>
        <w:t>Future Scholarship Plans</w:t>
      </w:r>
    </w:p>
    <w:p w14:paraId="09109D3C" w14:textId="177320F9" w:rsidR="00B90CC8" w:rsidRPr="003F4D85" w:rsidRDefault="6150DB48" w:rsidP="003F4D85">
      <w:pPr>
        <w:ind w:left="360"/>
        <w:rPr>
          <w:b/>
          <w:sz w:val="24"/>
          <w:szCs w:val="24"/>
        </w:rPr>
      </w:pPr>
      <w:r w:rsidRPr="6150DB48">
        <w:rPr>
          <w:i/>
          <w:iCs/>
          <w:sz w:val="24"/>
          <w:szCs w:val="24"/>
        </w:rPr>
        <w:t>Describe any planned or actual papers, presentations, publications, or other professional activities that you expect to produce that reflect your work on this project.</w:t>
      </w:r>
    </w:p>
    <w:p w14:paraId="36DFA842" w14:textId="210D7124" w:rsidR="6150DB48" w:rsidRDefault="6150DB48" w:rsidP="664AA16F">
      <w:pPr>
        <w:ind w:left="360"/>
        <w:rPr>
          <w:i/>
          <w:iCs/>
          <w:sz w:val="24"/>
          <w:szCs w:val="24"/>
        </w:rPr>
      </w:pPr>
      <w:r w:rsidRPr="664AA16F">
        <w:rPr>
          <w:sz w:val="24"/>
          <w:szCs w:val="24"/>
        </w:rPr>
        <w:t xml:space="preserve">Once our team has gathered a larger data set (quantitative and qualitative), we may pursue conference presentations or a journal article on our GGC 1000 OER textbook implementation. Our current small response rates from students and all of the impact factors on course success rates preclude us from doing so at this time, since we are still working to obtain statistically significant results. With another academic year or two’s worth of data, we should be better positioned to engage in scholarly productions stemming from the project. </w:t>
      </w:r>
    </w:p>
    <w:p w14:paraId="3AAF13AA" w14:textId="75FB48B7" w:rsidR="00CB083C" w:rsidRPr="004F2656" w:rsidRDefault="6150DB48" w:rsidP="003F4D85">
      <w:pPr>
        <w:pStyle w:val="Heading1"/>
        <w:numPr>
          <w:ilvl w:val="0"/>
          <w:numId w:val="24"/>
        </w:numPr>
        <w:ind w:left="360"/>
      </w:pPr>
      <w:r>
        <w:t xml:space="preserve">Description of Photograph (optional) </w:t>
      </w:r>
    </w:p>
    <w:p w14:paraId="49D26D57" w14:textId="41C7E185" w:rsidR="00CB083C" w:rsidRPr="003F4D85" w:rsidRDefault="0A3BC8CA" w:rsidP="0A3BC8CA">
      <w:pPr>
        <w:ind w:left="360"/>
        <w:rPr>
          <w:b/>
          <w:bCs/>
          <w:sz w:val="24"/>
          <w:szCs w:val="24"/>
        </w:rPr>
      </w:pPr>
      <w:r w:rsidRPr="0A3BC8CA">
        <w:rPr>
          <w:i/>
          <w:iCs/>
          <w:sz w:val="24"/>
          <w:szCs w:val="24"/>
        </w:rPr>
        <w:t xml:space="preserve">This is where a team can list the names of the people shown in this separately uploaded photograph, along with their roles, if applicable. </w:t>
      </w:r>
    </w:p>
    <w:p w14:paraId="6BAAA3BA" w14:textId="462CC12B" w:rsidR="0A3BC8CA" w:rsidRDefault="0A3BC8CA" w:rsidP="0A3BC8CA">
      <w:pPr>
        <w:ind w:left="360"/>
        <w:rPr>
          <w:i/>
          <w:iCs/>
          <w:sz w:val="24"/>
          <w:szCs w:val="24"/>
        </w:rPr>
      </w:pPr>
      <w:r w:rsidRPr="0A3BC8CA">
        <w:rPr>
          <w:i/>
          <w:iCs/>
          <w:sz w:val="24"/>
          <w:szCs w:val="24"/>
        </w:rPr>
        <w:t>Shown:</w:t>
      </w:r>
    </w:p>
    <w:p w14:paraId="70BED2C4" w14:textId="3CD5CEDA" w:rsidR="0A3BC8CA" w:rsidRDefault="0A3BC8CA" w:rsidP="0A3BC8CA">
      <w:pPr>
        <w:ind w:left="360"/>
        <w:rPr>
          <w:sz w:val="24"/>
          <w:szCs w:val="24"/>
        </w:rPr>
      </w:pPr>
      <w:r w:rsidRPr="0A3BC8CA">
        <w:rPr>
          <w:b/>
          <w:bCs/>
          <w:sz w:val="24"/>
          <w:szCs w:val="24"/>
        </w:rPr>
        <w:lastRenderedPageBreak/>
        <w:t xml:space="preserve">Dr. Catherine Thomas, </w:t>
      </w:r>
      <w:r w:rsidRPr="0A3BC8CA">
        <w:rPr>
          <w:sz w:val="24"/>
          <w:szCs w:val="24"/>
        </w:rPr>
        <w:t>Assoc. Dean for Student Success &amp; Professor of English</w:t>
      </w:r>
    </w:p>
    <w:p w14:paraId="2E9BDD68" w14:textId="2D1856B7" w:rsidR="0A3BC8CA" w:rsidRDefault="0A3BC8CA" w:rsidP="0A3BC8CA">
      <w:pPr>
        <w:ind w:left="360"/>
        <w:rPr>
          <w:sz w:val="24"/>
          <w:szCs w:val="24"/>
        </w:rPr>
      </w:pPr>
      <w:r w:rsidRPr="0A3BC8CA">
        <w:rPr>
          <w:b/>
          <w:bCs/>
          <w:sz w:val="24"/>
          <w:szCs w:val="24"/>
        </w:rPr>
        <w:t xml:space="preserve">Dr. Rolando Marquez, </w:t>
      </w:r>
      <w:r w:rsidRPr="0A3BC8CA">
        <w:rPr>
          <w:sz w:val="24"/>
          <w:szCs w:val="24"/>
        </w:rPr>
        <w:t>Assoc. Director for the Center for Teaching Excellence &amp; Asst. Professor of Instructional Technology</w:t>
      </w:r>
    </w:p>
    <w:p w14:paraId="485FD097" w14:textId="5102B28E" w:rsidR="0A3BC8CA" w:rsidRDefault="0A3BC8CA" w:rsidP="0A3BC8CA">
      <w:pPr>
        <w:ind w:left="360"/>
        <w:rPr>
          <w:b/>
          <w:bCs/>
          <w:sz w:val="24"/>
          <w:szCs w:val="24"/>
        </w:rPr>
      </w:pPr>
      <w:r w:rsidRPr="0A3BC8CA">
        <w:rPr>
          <w:b/>
          <w:bCs/>
          <w:sz w:val="24"/>
          <w:szCs w:val="24"/>
        </w:rPr>
        <w:t xml:space="preserve">Mr. Kenan Kurspahic, </w:t>
      </w:r>
      <w:r w:rsidRPr="0A3BC8CA">
        <w:rPr>
          <w:sz w:val="24"/>
          <w:szCs w:val="24"/>
        </w:rPr>
        <w:t>Senior Student Success Advisor</w:t>
      </w:r>
    </w:p>
    <w:p w14:paraId="4486126A" w14:textId="0CDC6E7C" w:rsidR="0A3BC8CA" w:rsidRDefault="0A3BC8CA" w:rsidP="0A3BC8CA">
      <w:pPr>
        <w:ind w:left="360"/>
        <w:rPr>
          <w:b/>
          <w:bCs/>
          <w:sz w:val="24"/>
          <w:szCs w:val="24"/>
        </w:rPr>
      </w:pPr>
    </w:p>
    <w:p w14:paraId="07E263C2" w14:textId="067F4D14" w:rsidR="0A3BC8CA" w:rsidRDefault="0A3BC8CA" w:rsidP="0A3BC8CA">
      <w:pPr>
        <w:ind w:left="360"/>
        <w:rPr>
          <w:i/>
          <w:iCs/>
          <w:sz w:val="24"/>
          <w:szCs w:val="24"/>
        </w:rPr>
      </w:pPr>
      <w:r w:rsidRPr="0A3BC8CA">
        <w:rPr>
          <w:i/>
          <w:iCs/>
          <w:sz w:val="24"/>
          <w:szCs w:val="24"/>
        </w:rPr>
        <w:t>Shown in separate picture:</w:t>
      </w:r>
    </w:p>
    <w:p w14:paraId="711DE71D" w14:textId="421E56B6" w:rsidR="0A3BC8CA" w:rsidRDefault="0A3BC8CA" w:rsidP="0A3BC8CA">
      <w:pPr>
        <w:ind w:left="360"/>
        <w:rPr>
          <w:sz w:val="24"/>
          <w:szCs w:val="24"/>
        </w:rPr>
      </w:pPr>
      <w:r w:rsidRPr="0A3BC8CA">
        <w:rPr>
          <w:b/>
          <w:bCs/>
          <w:sz w:val="24"/>
          <w:szCs w:val="24"/>
        </w:rPr>
        <w:t xml:space="preserve">Dr. Jennifer Hurst-Kennedy, </w:t>
      </w:r>
      <w:r w:rsidRPr="0A3BC8CA">
        <w:rPr>
          <w:sz w:val="24"/>
          <w:szCs w:val="24"/>
        </w:rPr>
        <w:t>Chair of Studies, Dept. Of Biology &amp; Assoc. Professor of Biology</w:t>
      </w:r>
    </w:p>
    <w:sectPr w:rsidR="0A3BC8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w Cen MT">
    <w:panose1 w:val="020B0602020104020603"/>
    <w:charset w:val="00"/>
    <w:family w:val="swiss"/>
    <w:pitch w:val="variable"/>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7A7BDE"/>
    <w:multiLevelType w:val="hybridMultilevel"/>
    <w:tmpl w:val="8974BFB6"/>
    <w:lvl w:ilvl="0" w:tplc="4B24FFC6">
      <w:start w:val="1"/>
      <w:numFmt w:val="decimal"/>
      <w:lvlText w:val="%1."/>
      <w:lvlJc w:val="left"/>
      <w:pPr>
        <w:ind w:left="720" w:hanging="360"/>
      </w:pPr>
    </w:lvl>
    <w:lvl w:ilvl="1" w:tplc="E45E91B0">
      <w:start w:val="1"/>
      <w:numFmt w:val="lowerLetter"/>
      <w:lvlText w:val="%2."/>
      <w:lvlJc w:val="left"/>
      <w:pPr>
        <w:ind w:left="1440" w:hanging="360"/>
      </w:pPr>
    </w:lvl>
    <w:lvl w:ilvl="2" w:tplc="85741C6C">
      <w:start w:val="1"/>
      <w:numFmt w:val="lowerRoman"/>
      <w:lvlText w:val="%3."/>
      <w:lvlJc w:val="right"/>
      <w:pPr>
        <w:ind w:left="2160" w:hanging="180"/>
      </w:pPr>
    </w:lvl>
    <w:lvl w:ilvl="3" w:tplc="A674477A">
      <w:start w:val="1"/>
      <w:numFmt w:val="decimal"/>
      <w:lvlText w:val="%4."/>
      <w:lvlJc w:val="left"/>
      <w:pPr>
        <w:ind w:left="2880" w:hanging="360"/>
      </w:pPr>
    </w:lvl>
    <w:lvl w:ilvl="4" w:tplc="6136E7EA">
      <w:start w:val="1"/>
      <w:numFmt w:val="lowerLetter"/>
      <w:lvlText w:val="%5."/>
      <w:lvlJc w:val="left"/>
      <w:pPr>
        <w:ind w:left="3600" w:hanging="360"/>
      </w:pPr>
    </w:lvl>
    <w:lvl w:ilvl="5" w:tplc="C0D684CE">
      <w:start w:val="1"/>
      <w:numFmt w:val="lowerRoman"/>
      <w:lvlText w:val="%6."/>
      <w:lvlJc w:val="right"/>
      <w:pPr>
        <w:ind w:left="4320" w:hanging="180"/>
      </w:pPr>
    </w:lvl>
    <w:lvl w:ilvl="6" w:tplc="700292A6">
      <w:start w:val="1"/>
      <w:numFmt w:val="decimal"/>
      <w:lvlText w:val="%7."/>
      <w:lvlJc w:val="left"/>
      <w:pPr>
        <w:ind w:left="5040" w:hanging="360"/>
      </w:pPr>
    </w:lvl>
    <w:lvl w:ilvl="7" w:tplc="824C266C">
      <w:start w:val="1"/>
      <w:numFmt w:val="lowerLetter"/>
      <w:lvlText w:val="%8."/>
      <w:lvlJc w:val="left"/>
      <w:pPr>
        <w:ind w:left="5760" w:hanging="360"/>
      </w:pPr>
    </w:lvl>
    <w:lvl w:ilvl="8" w:tplc="65A61D38">
      <w:start w:val="1"/>
      <w:numFmt w:val="lowerRoman"/>
      <w:lvlText w:val="%9."/>
      <w:lvlJc w:val="right"/>
      <w:pPr>
        <w:ind w:left="6480" w:hanging="180"/>
      </w:pPr>
    </w:lvl>
  </w:abstractNum>
  <w:abstractNum w:abstractNumId="7"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F65BA7"/>
    <w:multiLevelType w:val="hybridMultilevel"/>
    <w:tmpl w:val="D264FB12"/>
    <w:lvl w:ilvl="0" w:tplc="99F498E8">
      <w:start w:val="1"/>
      <w:numFmt w:val="bullet"/>
      <w:lvlText w:val=""/>
      <w:lvlJc w:val="left"/>
      <w:pPr>
        <w:ind w:left="720" w:hanging="360"/>
      </w:pPr>
      <w:rPr>
        <w:rFonts w:ascii="Symbol" w:hAnsi="Symbol" w:hint="default"/>
      </w:rPr>
    </w:lvl>
    <w:lvl w:ilvl="1" w:tplc="6CBCC370">
      <w:start w:val="1"/>
      <w:numFmt w:val="bullet"/>
      <w:lvlText w:val="o"/>
      <w:lvlJc w:val="left"/>
      <w:pPr>
        <w:ind w:left="1440" w:hanging="360"/>
      </w:pPr>
      <w:rPr>
        <w:rFonts w:ascii="Courier New" w:hAnsi="Courier New" w:hint="default"/>
      </w:rPr>
    </w:lvl>
    <w:lvl w:ilvl="2" w:tplc="1E54EF00">
      <w:start w:val="1"/>
      <w:numFmt w:val="bullet"/>
      <w:lvlText w:val=""/>
      <w:lvlJc w:val="left"/>
      <w:pPr>
        <w:ind w:left="2160" w:hanging="360"/>
      </w:pPr>
      <w:rPr>
        <w:rFonts w:ascii="Wingdings" w:hAnsi="Wingdings" w:hint="default"/>
      </w:rPr>
    </w:lvl>
    <w:lvl w:ilvl="3" w:tplc="9058F77A">
      <w:start w:val="1"/>
      <w:numFmt w:val="bullet"/>
      <w:lvlText w:val=""/>
      <w:lvlJc w:val="left"/>
      <w:pPr>
        <w:ind w:left="2880" w:hanging="360"/>
      </w:pPr>
      <w:rPr>
        <w:rFonts w:ascii="Symbol" w:hAnsi="Symbol" w:hint="default"/>
      </w:rPr>
    </w:lvl>
    <w:lvl w:ilvl="4" w:tplc="B142AAEA">
      <w:start w:val="1"/>
      <w:numFmt w:val="bullet"/>
      <w:lvlText w:val="o"/>
      <w:lvlJc w:val="left"/>
      <w:pPr>
        <w:ind w:left="3600" w:hanging="360"/>
      </w:pPr>
      <w:rPr>
        <w:rFonts w:ascii="Courier New" w:hAnsi="Courier New" w:hint="default"/>
      </w:rPr>
    </w:lvl>
    <w:lvl w:ilvl="5" w:tplc="3C866E26">
      <w:start w:val="1"/>
      <w:numFmt w:val="bullet"/>
      <w:lvlText w:val=""/>
      <w:lvlJc w:val="left"/>
      <w:pPr>
        <w:ind w:left="4320" w:hanging="360"/>
      </w:pPr>
      <w:rPr>
        <w:rFonts w:ascii="Wingdings" w:hAnsi="Wingdings" w:hint="default"/>
      </w:rPr>
    </w:lvl>
    <w:lvl w:ilvl="6" w:tplc="2A6A7464">
      <w:start w:val="1"/>
      <w:numFmt w:val="bullet"/>
      <w:lvlText w:val=""/>
      <w:lvlJc w:val="left"/>
      <w:pPr>
        <w:ind w:left="5040" w:hanging="360"/>
      </w:pPr>
      <w:rPr>
        <w:rFonts w:ascii="Symbol" w:hAnsi="Symbol" w:hint="default"/>
      </w:rPr>
    </w:lvl>
    <w:lvl w:ilvl="7" w:tplc="B538DD8A">
      <w:start w:val="1"/>
      <w:numFmt w:val="bullet"/>
      <w:lvlText w:val="o"/>
      <w:lvlJc w:val="left"/>
      <w:pPr>
        <w:ind w:left="5760" w:hanging="360"/>
      </w:pPr>
      <w:rPr>
        <w:rFonts w:ascii="Courier New" w:hAnsi="Courier New" w:hint="default"/>
      </w:rPr>
    </w:lvl>
    <w:lvl w:ilvl="8" w:tplc="B818F0DA">
      <w:start w:val="1"/>
      <w:numFmt w:val="bullet"/>
      <w:lvlText w:val=""/>
      <w:lvlJc w:val="left"/>
      <w:pPr>
        <w:ind w:left="6480" w:hanging="360"/>
      </w:pPr>
      <w:rPr>
        <w:rFonts w:ascii="Wingdings" w:hAnsi="Wingdings" w:hint="default"/>
      </w:rPr>
    </w:lvl>
  </w:abstractNum>
  <w:abstractNum w:abstractNumId="9"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E856DF"/>
    <w:multiLevelType w:val="hybridMultilevel"/>
    <w:tmpl w:val="D124064A"/>
    <w:lvl w:ilvl="0" w:tplc="AAD414F8">
      <w:start w:val="1"/>
      <w:numFmt w:val="bullet"/>
      <w:lvlText w:val=""/>
      <w:lvlJc w:val="left"/>
      <w:pPr>
        <w:ind w:left="720" w:hanging="360"/>
      </w:pPr>
      <w:rPr>
        <w:rFonts w:ascii="Symbol" w:hAnsi="Symbol" w:hint="default"/>
      </w:rPr>
    </w:lvl>
    <w:lvl w:ilvl="1" w:tplc="C234F49A">
      <w:start w:val="1"/>
      <w:numFmt w:val="bullet"/>
      <w:lvlText w:val="o"/>
      <w:lvlJc w:val="left"/>
      <w:pPr>
        <w:ind w:left="1440" w:hanging="360"/>
      </w:pPr>
      <w:rPr>
        <w:rFonts w:ascii="Courier New" w:hAnsi="Courier New" w:hint="default"/>
      </w:rPr>
    </w:lvl>
    <w:lvl w:ilvl="2" w:tplc="5D9A3A30">
      <w:start w:val="1"/>
      <w:numFmt w:val="bullet"/>
      <w:lvlText w:val=""/>
      <w:lvlJc w:val="left"/>
      <w:pPr>
        <w:ind w:left="2160" w:hanging="360"/>
      </w:pPr>
      <w:rPr>
        <w:rFonts w:ascii="Wingdings" w:hAnsi="Wingdings" w:hint="default"/>
      </w:rPr>
    </w:lvl>
    <w:lvl w:ilvl="3" w:tplc="CF78D368">
      <w:start w:val="1"/>
      <w:numFmt w:val="bullet"/>
      <w:lvlText w:val=""/>
      <w:lvlJc w:val="left"/>
      <w:pPr>
        <w:ind w:left="2880" w:hanging="360"/>
      </w:pPr>
      <w:rPr>
        <w:rFonts w:ascii="Symbol" w:hAnsi="Symbol" w:hint="default"/>
      </w:rPr>
    </w:lvl>
    <w:lvl w:ilvl="4" w:tplc="E7DA4B06">
      <w:start w:val="1"/>
      <w:numFmt w:val="bullet"/>
      <w:lvlText w:val="o"/>
      <w:lvlJc w:val="left"/>
      <w:pPr>
        <w:ind w:left="3600" w:hanging="360"/>
      </w:pPr>
      <w:rPr>
        <w:rFonts w:ascii="Courier New" w:hAnsi="Courier New" w:hint="default"/>
      </w:rPr>
    </w:lvl>
    <w:lvl w:ilvl="5" w:tplc="84564C36">
      <w:start w:val="1"/>
      <w:numFmt w:val="bullet"/>
      <w:lvlText w:val=""/>
      <w:lvlJc w:val="left"/>
      <w:pPr>
        <w:ind w:left="4320" w:hanging="360"/>
      </w:pPr>
      <w:rPr>
        <w:rFonts w:ascii="Wingdings" w:hAnsi="Wingdings" w:hint="default"/>
      </w:rPr>
    </w:lvl>
    <w:lvl w:ilvl="6" w:tplc="3D96EE10">
      <w:start w:val="1"/>
      <w:numFmt w:val="bullet"/>
      <w:lvlText w:val=""/>
      <w:lvlJc w:val="left"/>
      <w:pPr>
        <w:ind w:left="5040" w:hanging="360"/>
      </w:pPr>
      <w:rPr>
        <w:rFonts w:ascii="Symbol" w:hAnsi="Symbol" w:hint="default"/>
      </w:rPr>
    </w:lvl>
    <w:lvl w:ilvl="7" w:tplc="78EA0A4E">
      <w:start w:val="1"/>
      <w:numFmt w:val="bullet"/>
      <w:lvlText w:val="o"/>
      <w:lvlJc w:val="left"/>
      <w:pPr>
        <w:ind w:left="5760" w:hanging="360"/>
      </w:pPr>
      <w:rPr>
        <w:rFonts w:ascii="Courier New" w:hAnsi="Courier New" w:hint="default"/>
      </w:rPr>
    </w:lvl>
    <w:lvl w:ilvl="8" w:tplc="B7EECFE2">
      <w:start w:val="1"/>
      <w:numFmt w:val="bullet"/>
      <w:lvlText w:val=""/>
      <w:lvlJc w:val="left"/>
      <w:pPr>
        <w:ind w:left="6480" w:hanging="360"/>
      </w:pPr>
      <w:rPr>
        <w:rFonts w:ascii="Wingdings" w:hAnsi="Wingdings" w:hint="default"/>
      </w:rPr>
    </w:lvl>
  </w:abstractNum>
  <w:abstractNum w:abstractNumId="12" w15:restartNumberingAfterBreak="0">
    <w:nsid w:val="417B4E05"/>
    <w:multiLevelType w:val="hybridMultilevel"/>
    <w:tmpl w:val="D21E853C"/>
    <w:lvl w:ilvl="0" w:tplc="C0643D12">
      <w:start w:val="1"/>
      <w:numFmt w:val="bullet"/>
      <w:lvlText w:val=""/>
      <w:lvlJc w:val="left"/>
      <w:pPr>
        <w:ind w:left="720" w:hanging="360"/>
      </w:pPr>
      <w:rPr>
        <w:rFonts w:ascii="Symbol" w:hAnsi="Symbol" w:hint="default"/>
      </w:rPr>
    </w:lvl>
    <w:lvl w:ilvl="1" w:tplc="5330B34A">
      <w:start w:val="1"/>
      <w:numFmt w:val="bullet"/>
      <w:lvlText w:val="o"/>
      <w:lvlJc w:val="left"/>
      <w:pPr>
        <w:ind w:left="1440" w:hanging="360"/>
      </w:pPr>
      <w:rPr>
        <w:rFonts w:ascii="Courier New" w:hAnsi="Courier New" w:hint="default"/>
      </w:rPr>
    </w:lvl>
    <w:lvl w:ilvl="2" w:tplc="92265BF4">
      <w:start w:val="1"/>
      <w:numFmt w:val="bullet"/>
      <w:lvlText w:val=""/>
      <w:lvlJc w:val="left"/>
      <w:pPr>
        <w:ind w:left="2160" w:hanging="360"/>
      </w:pPr>
      <w:rPr>
        <w:rFonts w:ascii="Wingdings" w:hAnsi="Wingdings" w:hint="default"/>
      </w:rPr>
    </w:lvl>
    <w:lvl w:ilvl="3" w:tplc="3DE26BFA">
      <w:start w:val="1"/>
      <w:numFmt w:val="bullet"/>
      <w:lvlText w:val=""/>
      <w:lvlJc w:val="left"/>
      <w:pPr>
        <w:ind w:left="2880" w:hanging="360"/>
      </w:pPr>
      <w:rPr>
        <w:rFonts w:ascii="Symbol" w:hAnsi="Symbol" w:hint="default"/>
      </w:rPr>
    </w:lvl>
    <w:lvl w:ilvl="4" w:tplc="BF2A64F0">
      <w:start w:val="1"/>
      <w:numFmt w:val="bullet"/>
      <w:lvlText w:val="o"/>
      <w:lvlJc w:val="left"/>
      <w:pPr>
        <w:ind w:left="3600" w:hanging="360"/>
      </w:pPr>
      <w:rPr>
        <w:rFonts w:ascii="Courier New" w:hAnsi="Courier New" w:hint="default"/>
      </w:rPr>
    </w:lvl>
    <w:lvl w:ilvl="5" w:tplc="E4680F4A">
      <w:start w:val="1"/>
      <w:numFmt w:val="bullet"/>
      <w:lvlText w:val=""/>
      <w:lvlJc w:val="left"/>
      <w:pPr>
        <w:ind w:left="4320" w:hanging="360"/>
      </w:pPr>
      <w:rPr>
        <w:rFonts w:ascii="Wingdings" w:hAnsi="Wingdings" w:hint="default"/>
      </w:rPr>
    </w:lvl>
    <w:lvl w:ilvl="6" w:tplc="E892BF8E">
      <w:start w:val="1"/>
      <w:numFmt w:val="bullet"/>
      <w:lvlText w:val=""/>
      <w:lvlJc w:val="left"/>
      <w:pPr>
        <w:ind w:left="5040" w:hanging="360"/>
      </w:pPr>
      <w:rPr>
        <w:rFonts w:ascii="Symbol" w:hAnsi="Symbol" w:hint="default"/>
      </w:rPr>
    </w:lvl>
    <w:lvl w:ilvl="7" w:tplc="5F22022E">
      <w:start w:val="1"/>
      <w:numFmt w:val="bullet"/>
      <w:lvlText w:val="o"/>
      <w:lvlJc w:val="left"/>
      <w:pPr>
        <w:ind w:left="5760" w:hanging="360"/>
      </w:pPr>
      <w:rPr>
        <w:rFonts w:ascii="Courier New" w:hAnsi="Courier New" w:hint="default"/>
      </w:rPr>
    </w:lvl>
    <w:lvl w:ilvl="8" w:tplc="10D87FC6">
      <w:start w:val="1"/>
      <w:numFmt w:val="bullet"/>
      <w:lvlText w:val=""/>
      <w:lvlJc w:val="left"/>
      <w:pPr>
        <w:ind w:left="6480" w:hanging="360"/>
      </w:pPr>
      <w:rPr>
        <w:rFonts w:ascii="Wingdings" w:hAnsi="Wingdings" w:hint="default"/>
      </w:rPr>
    </w:lvl>
  </w:abstractNum>
  <w:abstractNum w:abstractNumId="13"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4C7DAE"/>
    <w:multiLevelType w:val="hybridMultilevel"/>
    <w:tmpl w:val="A37EAB82"/>
    <w:lvl w:ilvl="0" w:tplc="2116B276">
      <w:start w:val="1"/>
      <w:numFmt w:val="bullet"/>
      <w:lvlText w:val=""/>
      <w:lvlJc w:val="left"/>
      <w:pPr>
        <w:ind w:left="720" w:hanging="360"/>
      </w:pPr>
      <w:rPr>
        <w:rFonts w:ascii="Symbol" w:hAnsi="Symbol" w:hint="default"/>
      </w:rPr>
    </w:lvl>
    <w:lvl w:ilvl="1" w:tplc="FFA28C0E">
      <w:start w:val="1"/>
      <w:numFmt w:val="bullet"/>
      <w:lvlText w:val="o"/>
      <w:lvlJc w:val="left"/>
      <w:pPr>
        <w:ind w:left="1440" w:hanging="360"/>
      </w:pPr>
      <w:rPr>
        <w:rFonts w:ascii="Courier New" w:hAnsi="Courier New" w:hint="default"/>
      </w:rPr>
    </w:lvl>
    <w:lvl w:ilvl="2" w:tplc="762E3868">
      <w:start w:val="1"/>
      <w:numFmt w:val="bullet"/>
      <w:lvlText w:val=""/>
      <w:lvlJc w:val="left"/>
      <w:pPr>
        <w:ind w:left="2160" w:hanging="360"/>
      </w:pPr>
      <w:rPr>
        <w:rFonts w:ascii="Wingdings" w:hAnsi="Wingdings" w:hint="default"/>
      </w:rPr>
    </w:lvl>
    <w:lvl w:ilvl="3" w:tplc="3EFA81AA">
      <w:start w:val="1"/>
      <w:numFmt w:val="bullet"/>
      <w:lvlText w:val=""/>
      <w:lvlJc w:val="left"/>
      <w:pPr>
        <w:ind w:left="2880" w:hanging="360"/>
      </w:pPr>
      <w:rPr>
        <w:rFonts w:ascii="Symbol" w:hAnsi="Symbol" w:hint="default"/>
      </w:rPr>
    </w:lvl>
    <w:lvl w:ilvl="4" w:tplc="CD468B0A">
      <w:start w:val="1"/>
      <w:numFmt w:val="bullet"/>
      <w:lvlText w:val="o"/>
      <w:lvlJc w:val="left"/>
      <w:pPr>
        <w:ind w:left="3600" w:hanging="360"/>
      </w:pPr>
      <w:rPr>
        <w:rFonts w:ascii="Courier New" w:hAnsi="Courier New" w:hint="default"/>
      </w:rPr>
    </w:lvl>
    <w:lvl w:ilvl="5" w:tplc="8D5EEF02">
      <w:start w:val="1"/>
      <w:numFmt w:val="bullet"/>
      <w:lvlText w:val=""/>
      <w:lvlJc w:val="left"/>
      <w:pPr>
        <w:ind w:left="4320" w:hanging="360"/>
      </w:pPr>
      <w:rPr>
        <w:rFonts w:ascii="Wingdings" w:hAnsi="Wingdings" w:hint="default"/>
      </w:rPr>
    </w:lvl>
    <w:lvl w:ilvl="6" w:tplc="A7ACE8A4">
      <w:start w:val="1"/>
      <w:numFmt w:val="bullet"/>
      <w:lvlText w:val=""/>
      <w:lvlJc w:val="left"/>
      <w:pPr>
        <w:ind w:left="5040" w:hanging="360"/>
      </w:pPr>
      <w:rPr>
        <w:rFonts w:ascii="Symbol" w:hAnsi="Symbol" w:hint="default"/>
      </w:rPr>
    </w:lvl>
    <w:lvl w:ilvl="7" w:tplc="8E2A6032">
      <w:start w:val="1"/>
      <w:numFmt w:val="bullet"/>
      <w:lvlText w:val="o"/>
      <w:lvlJc w:val="left"/>
      <w:pPr>
        <w:ind w:left="5760" w:hanging="360"/>
      </w:pPr>
      <w:rPr>
        <w:rFonts w:ascii="Courier New" w:hAnsi="Courier New" w:hint="default"/>
      </w:rPr>
    </w:lvl>
    <w:lvl w:ilvl="8" w:tplc="E7ECE0C4">
      <w:start w:val="1"/>
      <w:numFmt w:val="bullet"/>
      <w:lvlText w:val=""/>
      <w:lvlJc w:val="left"/>
      <w:pPr>
        <w:ind w:left="6480" w:hanging="360"/>
      </w:pPr>
      <w:rPr>
        <w:rFonts w:ascii="Wingdings" w:hAnsi="Wingdings" w:hint="default"/>
      </w:rPr>
    </w:lvl>
  </w:abstractNum>
  <w:abstractNum w:abstractNumId="19"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4317BE"/>
    <w:multiLevelType w:val="hybridMultilevel"/>
    <w:tmpl w:val="10FE3052"/>
    <w:lvl w:ilvl="0" w:tplc="298E8228">
      <w:start w:val="1"/>
      <w:numFmt w:val="decimal"/>
      <w:lvlText w:val="%1."/>
      <w:lvlJc w:val="left"/>
      <w:pPr>
        <w:ind w:left="720" w:hanging="360"/>
      </w:pPr>
    </w:lvl>
    <w:lvl w:ilvl="1" w:tplc="9B64DB52">
      <w:start w:val="1"/>
      <w:numFmt w:val="lowerLetter"/>
      <w:lvlText w:val="%2."/>
      <w:lvlJc w:val="left"/>
      <w:pPr>
        <w:ind w:left="1440" w:hanging="360"/>
      </w:pPr>
    </w:lvl>
    <w:lvl w:ilvl="2" w:tplc="777E7F92">
      <w:start w:val="1"/>
      <w:numFmt w:val="lowerRoman"/>
      <w:lvlText w:val="%3."/>
      <w:lvlJc w:val="right"/>
      <w:pPr>
        <w:ind w:left="2160" w:hanging="180"/>
      </w:pPr>
    </w:lvl>
    <w:lvl w:ilvl="3" w:tplc="8758A74C">
      <w:start w:val="1"/>
      <w:numFmt w:val="decimal"/>
      <w:lvlText w:val="%4."/>
      <w:lvlJc w:val="left"/>
      <w:pPr>
        <w:ind w:left="2880" w:hanging="360"/>
      </w:pPr>
    </w:lvl>
    <w:lvl w:ilvl="4" w:tplc="90102814">
      <w:start w:val="1"/>
      <w:numFmt w:val="lowerLetter"/>
      <w:lvlText w:val="%5."/>
      <w:lvlJc w:val="left"/>
      <w:pPr>
        <w:ind w:left="3600" w:hanging="360"/>
      </w:pPr>
    </w:lvl>
    <w:lvl w:ilvl="5" w:tplc="EFF64CDC">
      <w:start w:val="1"/>
      <w:numFmt w:val="lowerRoman"/>
      <w:lvlText w:val="%6."/>
      <w:lvlJc w:val="right"/>
      <w:pPr>
        <w:ind w:left="4320" w:hanging="180"/>
      </w:pPr>
    </w:lvl>
    <w:lvl w:ilvl="6" w:tplc="216442DA">
      <w:start w:val="1"/>
      <w:numFmt w:val="decimal"/>
      <w:lvlText w:val="%7."/>
      <w:lvlJc w:val="left"/>
      <w:pPr>
        <w:ind w:left="5040" w:hanging="360"/>
      </w:pPr>
    </w:lvl>
    <w:lvl w:ilvl="7" w:tplc="F7B225E8">
      <w:start w:val="1"/>
      <w:numFmt w:val="lowerLetter"/>
      <w:lvlText w:val="%8."/>
      <w:lvlJc w:val="left"/>
      <w:pPr>
        <w:ind w:left="5760" w:hanging="360"/>
      </w:pPr>
    </w:lvl>
    <w:lvl w:ilvl="8" w:tplc="82F461A6">
      <w:start w:val="1"/>
      <w:numFmt w:val="lowerRoman"/>
      <w:lvlText w:val="%9."/>
      <w:lvlJc w:val="right"/>
      <w:pPr>
        <w:ind w:left="6480" w:hanging="180"/>
      </w:pPr>
    </w:lvl>
  </w:abstractNum>
  <w:abstractNum w:abstractNumId="23"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4496AE7"/>
    <w:multiLevelType w:val="hybridMultilevel"/>
    <w:tmpl w:val="8842AF5A"/>
    <w:lvl w:ilvl="0" w:tplc="0409000F">
      <w:start w:val="1"/>
      <w:numFmt w:val="decimal"/>
      <w:lvlText w:val="%1."/>
      <w:lvlJc w:val="left"/>
      <w:pPr>
        <w:ind w:left="720" w:hanging="360"/>
      </w:pPr>
    </w:lvl>
    <w:lvl w:ilvl="1" w:tplc="FFFFFFFF">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1"/>
  </w:num>
  <w:num w:numId="3">
    <w:abstractNumId w:val="18"/>
  </w:num>
  <w:num w:numId="4">
    <w:abstractNumId w:val="8"/>
  </w:num>
  <w:num w:numId="5">
    <w:abstractNumId w:val="12"/>
  </w:num>
  <w:num w:numId="6">
    <w:abstractNumId w:val="6"/>
  </w:num>
  <w:num w:numId="7">
    <w:abstractNumId w:val="13"/>
  </w:num>
  <w:num w:numId="8">
    <w:abstractNumId w:val="20"/>
  </w:num>
  <w:num w:numId="9">
    <w:abstractNumId w:val="21"/>
  </w:num>
  <w:num w:numId="10">
    <w:abstractNumId w:val="17"/>
  </w:num>
  <w:num w:numId="11">
    <w:abstractNumId w:val="5"/>
  </w:num>
  <w:num w:numId="12">
    <w:abstractNumId w:val="7"/>
  </w:num>
  <w:num w:numId="13">
    <w:abstractNumId w:val="3"/>
  </w:num>
  <w:num w:numId="14">
    <w:abstractNumId w:val="9"/>
  </w:num>
  <w:num w:numId="15">
    <w:abstractNumId w:val="2"/>
  </w:num>
  <w:num w:numId="16">
    <w:abstractNumId w:val="15"/>
  </w:num>
  <w:num w:numId="17">
    <w:abstractNumId w:val="1"/>
  </w:num>
  <w:num w:numId="18">
    <w:abstractNumId w:val="16"/>
  </w:num>
  <w:num w:numId="19">
    <w:abstractNumId w:val="19"/>
  </w:num>
  <w:num w:numId="20">
    <w:abstractNumId w:val="14"/>
  </w:num>
  <w:num w:numId="21">
    <w:abstractNumId w:val="4"/>
  </w:num>
  <w:num w:numId="22">
    <w:abstractNumId w:val="23"/>
  </w:num>
  <w:num w:numId="23">
    <w:abstractNumId w:val="10"/>
  </w:num>
  <w:num w:numId="24">
    <w:abstractNumId w:val="24"/>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101A24"/>
    <w:rsid w:val="00190A51"/>
    <w:rsid w:val="001A218C"/>
    <w:rsid w:val="001B2107"/>
    <w:rsid w:val="001D51FD"/>
    <w:rsid w:val="001E0EE3"/>
    <w:rsid w:val="001F4532"/>
    <w:rsid w:val="00220876"/>
    <w:rsid w:val="00240544"/>
    <w:rsid w:val="00285B86"/>
    <w:rsid w:val="002E3388"/>
    <w:rsid w:val="003038A8"/>
    <w:rsid w:val="0033401E"/>
    <w:rsid w:val="00346044"/>
    <w:rsid w:val="003C1B4D"/>
    <w:rsid w:val="003D0854"/>
    <w:rsid w:val="003E1BCB"/>
    <w:rsid w:val="003F4D85"/>
    <w:rsid w:val="00471C68"/>
    <w:rsid w:val="0048459F"/>
    <w:rsid w:val="004F2656"/>
    <w:rsid w:val="005212A0"/>
    <w:rsid w:val="0056369F"/>
    <w:rsid w:val="005C11E8"/>
    <w:rsid w:val="00630263"/>
    <w:rsid w:val="00647915"/>
    <w:rsid w:val="00684A25"/>
    <w:rsid w:val="00687254"/>
    <w:rsid w:val="006A36A9"/>
    <w:rsid w:val="0073273B"/>
    <w:rsid w:val="00772C9F"/>
    <w:rsid w:val="00811187"/>
    <w:rsid w:val="00871BC4"/>
    <w:rsid w:val="009245CA"/>
    <w:rsid w:val="00945780"/>
    <w:rsid w:val="0097575D"/>
    <w:rsid w:val="00987DD6"/>
    <w:rsid w:val="00A06E45"/>
    <w:rsid w:val="00A32AF4"/>
    <w:rsid w:val="00A77F21"/>
    <w:rsid w:val="00AA1657"/>
    <w:rsid w:val="00AF4890"/>
    <w:rsid w:val="00B516BC"/>
    <w:rsid w:val="00B90CC8"/>
    <w:rsid w:val="00BD653D"/>
    <w:rsid w:val="00BF3C8A"/>
    <w:rsid w:val="00C45872"/>
    <w:rsid w:val="00C65741"/>
    <w:rsid w:val="00C66162"/>
    <w:rsid w:val="00C749E5"/>
    <w:rsid w:val="00C807D1"/>
    <w:rsid w:val="00C80819"/>
    <w:rsid w:val="00C96BCC"/>
    <w:rsid w:val="00CB083C"/>
    <w:rsid w:val="00D035EF"/>
    <w:rsid w:val="00D11976"/>
    <w:rsid w:val="00D55DB7"/>
    <w:rsid w:val="00DC2BFF"/>
    <w:rsid w:val="00DD3803"/>
    <w:rsid w:val="00DD5245"/>
    <w:rsid w:val="00DF79E1"/>
    <w:rsid w:val="00E167BE"/>
    <w:rsid w:val="00E34FAA"/>
    <w:rsid w:val="00EB7890"/>
    <w:rsid w:val="00EE35AB"/>
    <w:rsid w:val="00EE7C7E"/>
    <w:rsid w:val="00F01364"/>
    <w:rsid w:val="00F22A9B"/>
    <w:rsid w:val="00F6782A"/>
    <w:rsid w:val="00F70B70"/>
    <w:rsid w:val="0A3BC8CA"/>
    <w:rsid w:val="11005366"/>
    <w:rsid w:val="14E7EF1C"/>
    <w:rsid w:val="2F7F8FC2"/>
    <w:rsid w:val="32B73084"/>
    <w:rsid w:val="37B61D14"/>
    <w:rsid w:val="6150DB48"/>
    <w:rsid w:val="664AA1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table" w:styleId="PlainTable1">
    <w:name w:val="Plain Table 1"/>
    <w:basedOn w:val="TableNormal"/>
    <w:uiPriority w:val="41"/>
    <w:rsid w:val="00EB789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5Dark-Accent1">
    <w:name w:val="Grid Table 5 Dark Accent 1"/>
    <w:basedOn w:val="TableNormal"/>
    <w:uiPriority w:val="5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rvey.zohopublic.com/zs/xTCCvG" TargetMode="External"/><Relationship Id="rId13" Type="http://schemas.openxmlformats.org/officeDocument/2006/relationships/hyperlink" Target="https://creativecommons.org/share-your-wor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rmarquez1@ggc.edu"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kurspah@ggc.edu" TargetMode="External"/><Relationship Id="rId5" Type="http://schemas.openxmlformats.org/officeDocument/2006/relationships/styles" Target="styles.xml"/><Relationship Id="rId15" Type="http://schemas.openxmlformats.org/officeDocument/2006/relationships/image" Target="media/image2.png"/><Relationship Id="rId10" Type="http://schemas.openxmlformats.org/officeDocument/2006/relationships/hyperlink" Target="mailto:jhurstkennedy@ggc.edu"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mailto:cthomas30@ggc.edu" TargetMode="Externa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6B3730377ECC54CAB0F9B7247463161" ma:contentTypeVersion="14" ma:contentTypeDescription="Create a new document." ma:contentTypeScope="" ma:versionID="e11090337ddff064e060bff21bc4e508">
  <xsd:schema xmlns:xsd="http://www.w3.org/2001/XMLSchema" xmlns:xs="http://www.w3.org/2001/XMLSchema" xmlns:p="http://schemas.microsoft.com/office/2006/metadata/properties" xmlns:ns3="a351f03e-cc3c-477a-9b42-db0c01cc316e" xmlns:ns4="53449ae7-83a7-4e32-88f3-ad9bdb8bc2f1" targetNamespace="http://schemas.microsoft.com/office/2006/metadata/properties" ma:root="true" ma:fieldsID="c2df8a04c45fbf34eba3cb8cf08a2af3" ns3:_="" ns4:_="">
    <xsd:import namespace="a351f03e-cc3c-477a-9b42-db0c01cc316e"/>
    <xsd:import namespace="53449ae7-83a7-4e32-88f3-ad9bdb8bc2f1"/>
    <xsd:element name="properties">
      <xsd:complexType>
        <xsd:sequence>
          <xsd:element name="documentManagement">
            <xsd:complexType>
              <xsd:all>
                <xsd:element ref="ns3:SharedWithDetails" minOccurs="0"/>
                <xsd:element ref="ns3:SharedWithUser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51f03e-cc3c-477a-9b42-db0c01cc316e" elementFormDefault="qualified">
    <xsd:import namespace="http://schemas.microsoft.com/office/2006/documentManagement/types"/>
    <xsd:import namespace="http://schemas.microsoft.com/office/infopath/2007/PartnerControls"/>
    <xsd:element name="SharedWithDetails" ma:index="8" nillable="true" ma:displayName="Shared With Details" ma:internalName="SharedWithDetails" ma:readOnly="true">
      <xsd:simpleType>
        <xsd:restriction base="dms:Note">
          <xsd:maxLength value="255"/>
        </xsd:restriction>
      </xsd:simpleType>
    </xsd:element>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449ae7-83a7-4e32-88f3-ad9bdb8bc2f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2FEF73-E947-49FD-95E9-CD7281206E7D}">
  <ds:schemaRefs>
    <ds:schemaRef ds:uri="http://schemas.microsoft.com/office/2006/metadata/properties"/>
    <ds:schemaRef ds:uri="53449ae7-83a7-4e32-88f3-ad9bdb8bc2f1"/>
    <ds:schemaRef ds:uri="http://purl.org/dc/dcmitype/"/>
    <ds:schemaRef ds:uri="http://schemas.openxmlformats.org/package/2006/metadata/core-properties"/>
    <ds:schemaRef ds:uri="http://schemas.microsoft.com/office/2006/documentManagement/types"/>
    <ds:schemaRef ds:uri="http://purl.org/dc/elements/1.1/"/>
    <ds:schemaRef ds:uri="http://purl.org/dc/terms/"/>
    <ds:schemaRef ds:uri="http://www.w3.org/XML/1998/namespace"/>
    <ds:schemaRef ds:uri="http://schemas.microsoft.com/office/infopath/2007/PartnerControls"/>
    <ds:schemaRef ds:uri="a351f03e-cc3c-477a-9b42-db0c01cc316e"/>
  </ds:schemaRefs>
</ds:datastoreItem>
</file>

<file path=customXml/itemProps2.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3.xml><?xml version="1.0" encoding="utf-8"?>
<ds:datastoreItem xmlns:ds="http://schemas.openxmlformats.org/officeDocument/2006/customXml" ds:itemID="{353DB98B-D5EE-4B5F-95AA-09E8B0B958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51f03e-cc3c-477a-9b42-db0c01cc316e"/>
    <ds:schemaRef ds:uri="53449ae7-83a7-4e32-88f3-ad9bdb8bc2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4441</Words>
  <Characters>25314</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29696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Catherine Thomas</cp:lastModifiedBy>
  <cp:revision>2</cp:revision>
  <dcterms:created xsi:type="dcterms:W3CDTF">2022-05-16T13:09:00Z</dcterms:created>
  <dcterms:modified xsi:type="dcterms:W3CDTF">2022-05-16T13:09:00Z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0x01010096B3730377ECC54CAB0F9B7247463161</vt:lpwstr>
  </property>
</Properties>
</file>