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D14AC" w14:textId="77777777" w:rsidR="00E167BE" w:rsidRPr="004F2656" w:rsidRDefault="00E167BE" w:rsidP="00285B86">
      <w:pPr>
        <w:pStyle w:val="Title"/>
      </w:pPr>
      <w:r w:rsidRPr="004F2656">
        <w:t xml:space="preserve">Affordable Learning Georgia Textbook Transformation Grants </w:t>
      </w:r>
    </w:p>
    <w:p w14:paraId="6A2EAF46" w14:textId="77777777" w:rsidR="00346044" w:rsidRPr="004F2656" w:rsidRDefault="00346044" w:rsidP="00285B86">
      <w:pPr>
        <w:pStyle w:val="Subtitle"/>
      </w:pPr>
      <w:r w:rsidRPr="004F2656">
        <w:t xml:space="preserve">Final </w:t>
      </w:r>
      <w:r w:rsidRPr="00285B86">
        <w:t>Report</w:t>
      </w:r>
    </w:p>
    <w:p w14:paraId="1D496630" w14:textId="208777A9" w:rsidR="0033401E" w:rsidRPr="00871BC4" w:rsidRDefault="0033401E" w:rsidP="0073273B">
      <w:pPr>
        <w:rPr>
          <w:iCs/>
          <w:sz w:val="24"/>
          <w:szCs w:val="24"/>
        </w:rPr>
      </w:pPr>
      <w:r w:rsidRPr="00871BC4">
        <w:rPr>
          <w:iCs/>
          <w:sz w:val="24"/>
          <w:szCs w:val="24"/>
        </w:rPr>
        <w:t xml:space="preserve">To submit your Final Report, go to the </w:t>
      </w:r>
      <w:hyperlink r:id="rId8" w:history="1">
        <w:r w:rsidRPr="003F4D85">
          <w:rPr>
            <w:rStyle w:val="Hyperlink"/>
            <w:iCs/>
            <w:sz w:val="24"/>
            <w:szCs w:val="24"/>
          </w:rPr>
          <w:t>Final Report submission page</w:t>
        </w:r>
      </w:hyperlink>
      <w:r w:rsidRPr="00871BC4">
        <w:rPr>
          <w:iCs/>
          <w:sz w:val="24"/>
          <w:szCs w:val="24"/>
        </w:rPr>
        <w:t xml:space="preserve"> on the ALG website</w:t>
      </w:r>
      <w:r w:rsidR="00630263" w:rsidRPr="00871BC4">
        <w:rPr>
          <w:iCs/>
          <w:sz w:val="24"/>
          <w:szCs w:val="24"/>
        </w:rPr>
        <w:t>:</w:t>
      </w:r>
      <w:r w:rsidRPr="00871BC4">
        <w:rPr>
          <w:iCs/>
          <w:sz w:val="24"/>
          <w:szCs w:val="24"/>
        </w:rPr>
        <w:t xml:space="preserve"> </w:t>
      </w:r>
      <w:r w:rsidR="00AF4890" w:rsidRPr="003F4D85">
        <w:rPr>
          <w:iCs/>
          <w:sz w:val="24"/>
          <w:szCs w:val="24"/>
        </w:rPr>
        <w:t>http://affordablelearninggeorgia.org/site/final_report_submission</w:t>
      </w:r>
    </w:p>
    <w:p w14:paraId="67CBE099" w14:textId="47251BA6" w:rsidR="0033401E" w:rsidRPr="00871BC4" w:rsidRDefault="00D11976" w:rsidP="0033401E">
      <w:pPr>
        <w:rPr>
          <w:iCs/>
          <w:sz w:val="24"/>
          <w:szCs w:val="24"/>
        </w:rPr>
      </w:pPr>
      <w:r w:rsidRPr="00871BC4">
        <w:rPr>
          <w:iCs/>
          <w:sz w:val="24"/>
          <w:szCs w:val="24"/>
        </w:rPr>
        <w:t>The final report submission form allows up to five f</w:t>
      </w:r>
      <w:r w:rsidR="0033401E" w:rsidRPr="00871BC4">
        <w:rPr>
          <w:iCs/>
          <w:sz w:val="24"/>
          <w:szCs w:val="24"/>
        </w:rPr>
        <w:t xml:space="preserve">iles: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491F4E24"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(required)</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2C84B08E" w:rsidR="00687254" w:rsidRDefault="00687254" w:rsidP="00687254">
      <w:pPr>
        <w:ind w:left="360"/>
        <w:rPr>
          <w:b/>
          <w:sz w:val="24"/>
          <w:szCs w:val="24"/>
        </w:rPr>
      </w:pPr>
      <w:r w:rsidRPr="004F2656">
        <w:rPr>
          <w:b/>
          <w:sz w:val="24"/>
          <w:szCs w:val="24"/>
        </w:rPr>
        <w:t>Date</w:t>
      </w:r>
      <w:r w:rsidR="003E1BCB" w:rsidRPr="004F2656">
        <w:rPr>
          <w:b/>
          <w:sz w:val="24"/>
          <w:szCs w:val="24"/>
        </w:rPr>
        <w:t>:</w:t>
      </w:r>
    </w:p>
    <w:p w14:paraId="1CB2C16B" w14:textId="0A0561ED" w:rsidR="0033401E" w:rsidRPr="004F2656" w:rsidRDefault="0033401E" w:rsidP="00687254">
      <w:pPr>
        <w:ind w:left="360"/>
        <w:rPr>
          <w:b/>
          <w:sz w:val="24"/>
          <w:szCs w:val="24"/>
        </w:rPr>
      </w:pPr>
      <w:r>
        <w:rPr>
          <w:b/>
          <w:sz w:val="24"/>
          <w:szCs w:val="24"/>
        </w:rPr>
        <w:t>Grant Round:</w:t>
      </w:r>
      <w:r w:rsidR="001A451B">
        <w:rPr>
          <w:b/>
          <w:sz w:val="24"/>
          <w:szCs w:val="24"/>
        </w:rPr>
        <w:t xml:space="preserve"> </w:t>
      </w:r>
      <w:r w:rsidR="001A451B" w:rsidRPr="001A451B">
        <w:rPr>
          <w:sz w:val="24"/>
          <w:szCs w:val="24"/>
        </w:rPr>
        <w:t>15</w:t>
      </w:r>
    </w:p>
    <w:p w14:paraId="41045492" w14:textId="21BF21BC"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1A451B">
        <w:rPr>
          <w:b/>
          <w:sz w:val="24"/>
          <w:szCs w:val="24"/>
        </w:rPr>
        <w:t xml:space="preserve"> </w:t>
      </w:r>
      <w:r w:rsidR="001A451B" w:rsidRPr="001A451B">
        <w:rPr>
          <w:sz w:val="24"/>
          <w:szCs w:val="24"/>
        </w:rPr>
        <w:t>473</w:t>
      </w:r>
    </w:p>
    <w:p w14:paraId="65C4B013" w14:textId="42036DB4"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1A451B">
        <w:rPr>
          <w:b/>
          <w:sz w:val="24"/>
          <w:szCs w:val="24"/>
        </w:rPr>
        <w:t xml:space="preserve"> </w:t>
      </w:r>
      <w:r w:rsidR="001A451B" w:rsidRPr="001A451B">
        <w:rPr>
          <w:sz w:val="24"/>
          <w:szCs w:val="24"/>
        </w:rPr>
        <w:t>Georgia Gwinnett College</w:t>
      </w:r>
    </w:p>
    <w:p w14:paraId="28FD8E6E" w14:textId="11B301B1" w:rsidR="0033401E" w:rsidRPr="001A451B" w:rsidRDefault="0033401E" w:rsidP="0033401E">
      <w:pPr>
        <w:ind w:left="360"/>
        <w:rPr>
          <w:sz w:val="24"/>
          <w:szCs w:val="24"/>
        </w:rPr>
      </w:pPr>
      <w:r w:rsidRPr="004F2656">
        <w:rPr>
          <w:b/>
          <w:sz w:val="24"/>
          <w:szCs w:val="24"/>
        </w:rPr>
        <w:t>Project Lead:</w:t>
      </w:r>
      <w:r w:rsidR="001A451B">
        <w:rPr>
          <w:b/>
          <w:sz w:val="24"/>
          <w:szCs w:val="24"/>
        </w:rPr>
        <w:t xml:space="preserve"> </w:t>
      </w:r>
      <w:r w:rsidR="001A451B" w:rsidRPr="001A451B">
        <w:rPr>
          <w:sz w:val="24"/>
          <w:szCs w:val="24"/>
        </w:rPr>
        <w:t>Shoshana Katzman</w:t>
      </w:r>
    </w:p>
    <w:p w14:paraId="6A7C5B5B" w14:textId="19A14A8F"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1A451B">
        <w:rPr>
          <w:b/>
          <w:sz w:val="24"/>
          <w:szCs w:val="24"/>
        </w:rPr>
        <w:t xml:space="preserve"> </w:t>
      </w:r>
    </w:p>
    <w:tbl>
      <w:tblPr>
        <w:tblStyle w:val="TableGrid"/>
        <w:tblW w:w="0" w:type="auto"/>
        <w:tblLook w:val="04A0" w:firstRow="1" w:lastRow="0" w:firstColumn="1" w:lastColumn="0" w:noHBand="0" w:noVBand="1"/>
        <w:tblCaption w:val="Team Member Form"/>
        <w:tblDescription w:val="Table for entering team member information"/>
      </w:tblPr>
      <w:tblGrid>
        <w:gridCol w:w="1615"/>
        <w:gridCol w:w="1890"/>
        <w:gridCol w:w="3060"/>
        <w:gridCol w:w="2161"/>
      </w:tblGrid>
      <w:tr w:rsidR="001A451B" w14:paraId="3C683C00" w14:textId="77777777" w:rsidTr="001A451B">
        <w:trPr>
          <w:trHeight w:val="252"/>
          <w:tblHeader/>
        </w:trPr>
        <w:tc>
          <w:tcPr>
            <w:tcW w:w="1615" w:type="dxa"/>
          </w:tcPr>
          <w:p w14:paraId="7320E213" w14:textId="77777777" w:rsidR="001A451B" w:rsidRDefault="001A451B" w:rsidP="0071527A"/>
        </w:tc>
        <w:tc>
          <w:tcPr>
            <w:tcW w:w="1890" w:type="dxa"/>
          </w:tcPr>
          <w:p w14:paraId="4F8DE29F" w14:textId="77777777" w:rsidR="001A451B" w:rsidRPr="007463FB" w:rsidRDefault="001A451B" w:rsidP="0071527A">
            <w:r w:rsidRPr="007463FB">
              <w:t>Name</w:t>
            </w:r>
          </w:p>
        </w:tc>
        <w:tc>
          <w:tcPr>
            <w:tcW w:w="3060" w:type="dxa"/>
          </w:tcPr>
          <w:p w14:paraId="0B64CC58" w14:textId="4C303BC9" w:rsidR="001A451B" w:rsidRPr="007463FB" w:rsidRDefault="001A451B" w:rsidP="0071527A">
            <w:r>
              <w:t>Title</w:t>
            </w:r>
          </w:p>
        </w:tc>
        <w:tc>
          <w:tcPr>
            <w:tcW w:w="1262" w:type="dxa"/>
          </w:tcPr>
          <w:p w14:paraId="113BC103" w14:textId="007B0B15" w:rsidR="001A451B" w:rsidRPr="007463FB" w:rsidRDefault="001A451B" w:rsidP="0071527A">
            <w:r w:rsidRPr="007463FB">
              <w:t>Email Address</w:t>
            </w:r>
          </w:p>
        </w:tc>
      </w:tr>
      <w:tr w:rsidR="001A451B" w14:paraId="19CDD6E3" w14:textId="77777777" w:rsidTr="001A451B">
        <w:trPr>
          <w:trHeight w:val="252"/>
        </w:trPr>
        <w:tc>
          <w:tcPr>
            <w:tcW w:w="1615" w:type="dxa"/>
          </w:tcPr>
          <w:p w14:paraId="05D2906A" w14:textId="77777777" w:rsidR="001A451B" w:rsidRDefault="001A451B" w:rsidP="0071527A">
            <w:r>
              <w:t>Team Member 1</w:t>
            </w:r>
          </w:p>
        </w:tc>
        <w:tc>
          <w:tcPr>
            <w:tcW w:w="1890" w:type="dxa"/>
          </w:tcPr>
          <w:p w14:paraId="79FADFC3" w14:textId="77777777" w:rsidR="001A451B" w:rsidRPr="007463FB" w:rsidRDefault="001A451B" w:rsidP="0071527A">
            <w:r w:rsidRPr="007463FB">
              <w:rPr>
                <w:szCs w:val="24"/>
              </w:rPr>
              <w:t>Shoshana Katzman</w:t>
            </w:r>
          </w:p>
        </w:tc>
        <w:tc>
          <w:tcPr>
            <w:tcW w:w="3060" w:type="dxa"/>
          </w:tcPr>
          <w:p w14:paraId="5D8443BD" w14:textId="377385D2" w:rsidR="001A451B" w:rsidRPr="000F7140" w:rsidRDefault="001A451B" w:rsidP="0071527A">
            <w:pPr>
              <w:rPr>
                <w:szCs w:val="24"/>
              </w:rPr>
            </w:pPr>
            <w:r>
              <w:rPr>
                <w:szCs w:val="24"/>
              </w:rPr>
              <w:t>Assistant Professor of Biology</w:t>
            </w:r>
          </w:p>
        </w:tc>
        <w:tc>
          <w:tcPr>
            <w:tcW w:w="1262" w:type="dxa"/>
          </w:tcPr>
          <w:p w14:paraId="286730F4" w14:textId="350009C9" w:rsidR="001A451B" w:rsidRPr="007463FB" w:rsidRDefault="001A451B" w:rsidP="0071527A">
            <w:r w:rsidRPr="000F7140">
              <w:rPr>
                <w:szCs w:val="24"/>
              </w:rPr>
              <w:t>skatzman@ggc.edu</w:t>
            </w:r>
          </w:p>
        </w:tc>
      </w:tr>
      <w:tr w:rsidR="001A451B" w14:paraId="5B02C867" w14:textId="77777777" w:rsidTr="001A451B">
        <w:trPr>
          <w:trHeight w:val="252"/>
        </w:trPr>
        <w:tc>
          <w:tcPr>
            <w:tcW w:w="1615" w:type="dxa"/>
          </w:tcPr>
          <w:p w14:paraId="08B97891" w14:textId="77777777" w:rsidR="001A451B" w:rsidRDefault="001A451B" w:rsidP="0071527A">
            <w:r>
              <w:t>Team Member 2</w:t>
            </w:r>
          </w:p>
        </w:tc>
        <w:tc>
          <w:tcPr>
            <w:tcW w:w="1890" w:type="dxa"/>
          </w:tcPr>
          <w:p w14:paraId="4E530BB2" w14:textId="77777777" w:rsidR="001A451B" w:rsidRPr="007463FB" w:rsidRDefault="001A451B" w:rsidP="0071527A">
            <w:r w:rsidRPr="007463FB">
              <w:rPr>
                <w:szCs w:val="24"/>
              </w:rPr>
              <w:t>Jennifer Hurst-Kennedy</w:t>
            </w:r>
          </w:p>
        </w:tc>
        <w:tc>
          <w:tcPr>
            <w:tcW w:w="3060" w:type="dxa"/>
          </w:tcPr>
          <w:p w14:paraId="28100311" w14:textId="7FD50FAA" w:rsidR="001A451B" w:rsidRPr="007463FB" w:rsidRDefault="001A451B" w:rsidP="0071527A">
            <w:pPr>
              <w:rPr>
                <w:szCs w:val="24"/>
              </w:rPr>
            </w:pPr>
            <w:r>
              <w:rPr>
                <w:szCs w:val="24"/>
              </w:rPr>
              <w:t>Associate Professor of Biology</w:t>
            </w:r>
          </w:p>
        </w:tc>
        <w:tc>
          <w:tcPr>
            <w:tcW w:w="1262" w:type="dxa"/>
          </w:tcPr>
          <w:p w14:paraId="62F48E45" w14:textId="36279871" w:rsidR="001A451B" w:rsidRPr="007463FB" w:rsidRDefault="001A451B" w:rsidP="0071527A">
            <w:r w:rsidRPr="007463FB">
              <w:rPr>
                <w:szCs w:val="24"/>
              </w:rPr>
              <w:t>jhurstkennedy@ggc.edu</w:t>
            </w:r>
          </w:p>
        </w:tc>
      </w:tr>
      <w:tr w:rsidR="001A451B" w14:paraId="2130DD7C" w14:textId="77777777" w:rsidTr="001A451B">
        <w:trPr>
          <w:trHeight w:val="252"/>
        </w:trPr>
        <w:tc>
          <w:tcPr>
            <w:tcW w:w="1615" w:type="dxa"/>
          </w:tcPr>
          <w:p w14:paraId="14CF015F" w14:textId="77777777" w:rsidR="001A451B" w:rsidRDefault="001A451B" w:rsidP="0071527A">
            <w:r>
              <w:t>Team Member 3</w:t>
            </w:r>
          </w:p>
        </w:tc>
        <w:tc>
          <w:tcPr>
            <w:tcW w:w="1890" w:type="dxa"/>
          </w:tcPr>
          <w:p w14:paraId="647446D7" w14:textId="77777777" w:rsidR="001A451B" w:rsidRPr="007463FB" w:rsidRDefault="001A451B" w:rsidP="0071527A">
            <w:r w:rsidRPr="007463FB">
              <w:rPr>
                <w:szCs w:val="24"/>
              </w:rPr>
              <w:t>Alessandra L. Barrera</w:t>
            </w:r>
          </w:p>
        </w:tc>
        <w:tc>
          <w:tcPr>
            <w:tcW w:w="3060" w:type="dxa"/>
          </w:tcPr>
          <w:p w14:paraId="372392B8" w14:textId="0B26D7FA" w:rsidR="001A451B" w:rsidRPr="007463FB" w:rsidRDefault="001A451B" w:rsidP="0071527A">
            <w:pPr>
              <w:rPr>
                <w:szCs w:val="24"/>
              </w:rPr>
            </w:pPr>
            <w:r>
              <w:rPr>
                <w:szCs w:val="24"/>
              </w:rPr>
              <w:t>Associate Professor of Biology</w:t>
            </w:r>
          </w:p>
        </w:tc>
        <w:tc>
          <w:tcPr>
            <w:tcW w:w="1262" w:type="dxa"/>
          </w:tcPr>
          <w:p w14:paraId="5BCEA22F" w14:textId="095258C1" w:rsidR="001A451B" w:rsidRPr="007463FB" w:rsidRDefault="001A451B" w:rsidP="0071527A">
            <w:r w:rsidRPr="007463FB">
              <w:rPr>
                <w:szCs w:val="24"/>
              </w:rPr>
              <w:t>abarrera@ggc.edu</w:t>
            </w:r>
          </w:p>
        </w:tc>
      </w:tr>
      <w:tr w:rsidR="001A451B" w14:paraId="2887904A" w14:textId="77777777" w:rsidTr="001A451B">
        <w:trPr>
          <w:trHeight w:val="252"/>
        </w:trPr>
        <w:tc>
          <w:tcPr>
            <w:tcW w:w="1615" w:type="dxa"/>
          </w:tcPr>
          <w:p w14:paraId="6AADB3EA" w14:textId="77777777" w:rsidR="001A451B" w:rsidRDefault="001A451B" w:rsidP="0071527A">
            <w:r>
              <w:t>Team Member 4</w:t>
            </w:r>
          </w:p>
        </w:tc>
        <w:tc>
          <w:tcPr>
            <w:tcW w:w="1890" w:type="dxa"/>
          </w:tcPr>
          <w:p w14:paraId="24DBF7FE" w14:textId="77777777" w:rsidR="001A451B" w:rsidRPr="007463FB" w:rsidRDefault="001A451B" w:rsidP="0071527A">
            <w:r w:rsidRPr="007463FB">
              <w:rPr>
                <w:szCs w:val="24"/>
              </w:rPr>
              <w:t>Jennell Talley</w:t>
            </w:r>
          </w:p>
        </w:tc>
        <w:tc>
          <w:tcPr>
            <w:tcW w:w="3060" w:type="dxa"/>
          </w:tcPr>
          <w:p w14:paraId="74792A89" w14:textId="1541CFEE" w:rsidR="001A451B" w:rsidRPr="007463FB" w:rsidRDefault="001A451B" w:rsidP="0071527A">
            <w:pPr>
              <w:rPr>
                <w:szCs w:val="24"/>
              </w:rPr>
            </w:pPr>
            <w:r>
              <w:rPr>
                <w:szCs w:val="24"/>
              </w:rPr>
              <w:t>Associate Professor of Biology</w:t>
            </w:r>
          </w:p>
        </w:tc>
        <w:tc>
          <w:tcPr>
            <w:tcW w:w="1262" w:type="dxa"/>
          </w:tcPr>
          <w:p w14:paraId="25C598E7" w14:textId="6AC075EE" w:rsidR="001A451B" w:rsidRPr="007463FB" w:rsidRDefault="001A451B" w:rsidP="0071527A">
            <w:r w:rsidRPr="007463FB">
              <w:rPr>
                <w:szCs w:val="24"/>
              </w:rPr>
              <w:t>jtalley@ggc.edu</w:t>
            </w:r>
          </w:p>
        </w:tc>
      </w:tr>
      <w:tr w:rsidR="001A451B" w14:paraId="783362F8" w14:textId="77777777" w:rsidTr="001A451B">
        <w:trPr>
          <w:trHeight w:val="252"/>
        </w:trPr>
        <w:tc>
          <w:tcPr>
            <w:tcW w:w="1615" w:type="dxa"/>
          </w:tcPr>
          <w:p w14:paraId="73B72D76" w14:textId="77777777" w:rsidR="001A451B" w:rsidRDefault="001A451B" w:rsidP="0071527A">
            <w:r>
              <w:t>Team Member 5</w:t>
            </w:r>
          </w:p>
        </w:tc>
        <w:tc>
          <w:tcPr>
            <w:tcW w:w="1890" w:type="dxa"/>
          </w:tcPr>
          <w:p w14:paraId="55580C1D" w14:textId="77777777" w:rsidR="001A451B" w:rsidRPr="007463FB" w:rsidRDefault="001A451B" w:rsidP="0071527A">
            <w:pPr>
              <w:rPr>
                <w:szCs w:val="24"/>
              </w:rPr>
            </w:pPr>
            <w:r w:rsidRPr="007463FB">
              <w:rPr>
                <w:szCs w:val="24"/>
              </w:rPr>
              <w:t>Rebecca Higgins</w:t>
            </w:r>
          </w:p>
        </w:tc>
        <w:tc>
          <w:tcPr>
            <w:tcW w:w="3060" w:type="dxa"/>
          </w:tcPr>
          <w:p w14:paraId="2DEA2311" w14:textId="47C15377" w:rsidR="001A451B" w:rsidRPr="007463FB" w:rsidRDefault="001A451B" w:rsidP="0071527A">
            <w:pPr>
              <w:rPr>
                <w:szCs w:val="24"/>
              </w:rPr>
            </w:pPr>
            <w:r>
              <w:rPr>
                <w:szCs w:val="24"/>
              </w:rPr>
              <w:t>Assistant Professor of Biology</w:t>
            </w:r>
          </w:p>
        </w:tc>
        <w:tc>
          <w:tcPr>
            <w:tcW w:w="1262" w:type="dxa"/>
          </w:tcPr>
          <w:p w14:paraId="2DD5A54E" w14:textId="6761CC5E" w:rsidR="001A451B" w:rsidRPr="007463FB" w:rsidRDefault="001A451B" w:rsidP="0071527A">
            <w:pPr>
              <w:rPr>
                <w:szCs w:val="24"/>
              </w:rPr>
            </w:pPr>
            <w:r w:rsidRPr="007463FB">
              <w:rPr>
                <w:szCs w:val="24"/>
              </w:rPr>
              <w:t>rhiggins@ggc.edu</w:t>
            </w:r>
          </w:p>
        </w:tc>
      </w:tr>
    </w:tbl>
    <w:p w14:paraId="5BB613C2" w14:textId="77777777" w:rsidR="001A451B" w:rsidRPr="004F2656" w:rsidRDefault="001A451B" w:rsidP="00687254">
      <w:pPr>
        <w:ind w:left="360"/>
        <w:rPr>
          <w:b/>
          <w:sz w:val="24"/>
          <w:szCs w:val="24"/>
        </w:rPr>
      </w:pPr>
    </w:p>
    <w:p w14:paraId="7A0F5483" w14:textId="77777777" w:rsidR="00FC7501" w:rsidRDefault="00FC7501" w:rsidP="00E167BE">
      <w:pPr>
        <w:ind w:left="360"/>
        <w:rPr>
          <w:b/>
          <w:sz w:val="24"/>
          <w:szCs w:val="24"/>
        </w:rPr>
      </w:pPr>
    </w:p>
    <w:p w14:paraId="46A62745" w14:textId="57127495" w:rsidR="00DF79E1" w:rsidRPr="004F2656" w:rsidRDefault="00DF79E1" w:rsidP="00E167BE">
      <w:pPr>
        <w:ind w:left="360"/>
        <w:rPr>
          <w:b/>
          <w:sz w:val="24"/>
          <w:szCs w:val="24"/>
        </w:rPr>
      </w:pPr>
      <w:r w:rsidRPr="004F2656">
        <w:rPr>
          <w:b/>
          <w:sz w:val="24"/>
          <w:szCs w:val="24"/>
        </w:rPr>
        <w:lastRenderedPageBreak/>
        <w:t>Course Name(s) and Course Numbers</w:t>
      </w:r>
      <w:r w:rsidR="003E1BCB" w:rsidRPr="004F2656">
        <w:rPr>
          <w:b/>
          <w:sz w:val="24"/>
          <w:szCs w:val="24"/>
        </w:rPr>
        <w:t>:</w:t>
      </w:r>
      <w:r w:rsidR="001A451B">
        <w:rPr>
          <w:b/>
          <w:sz w:val="24"/>
          <w:szCs w:val="24"/>
        </w:rPr>
        <w:t xml:space="preserve"> </w:t>
      </w:r>
      <w:r w:rsidR="001A451B" w:rsidRPr="001A451B">
        <w:rPr>
          <w:sz w:val="24"/>
          <w:szCs w:val="24"/>
        </w:rPr>
        <w:t>BIOL 3400K Cell Biology</w:t>
      </w:r>
    </w:p>
    <w:p w14:paraId="3E617D79" w14:textId="2E6AC6AB"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1A451B">
        <w:rPr>
          <w:b/>
          <w:sz w:val="24"/>
          <w:szCs w:val="24"/>
        </w:rPr>
        <w:t xml:space="preserve"> </w:t>
      </w:r>
      <w:r w:rsidR="001A451B" w:rsidRPr="001A451B">
        <w:rPr>
          <w:sz w:val="24"/>
          <w:szCs w:val="24"/>
        </w:rPr>
        <w:t>Fall 2019</w:t>
      </w:r>
    </w:p>
    <w:p w14:paraId="4D2A60B3" w14:textId="28B80C17"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1A451B">
        <w:rPr>
          <w:b/>
          <w:sz w:val="24"/>
          <w:szCs w:val="24"/>
        </w:rPr>
        <w:t xml:space="preserve"> </w:t>
      </w:r>
      <w:r w:rsidR="001A451B" w:rsidRPr="001A451B">
        <w:rPr>
          <w:sz w:val="24"/>
          <w:szCs w:val="24"/>
        </w:rPr>
        <w:t>Fall 2020</w:t>
      </w:r>
    </w:p>
    <w:p w14:paraId="7C819642" w14:textId="0651C6A7" w:rsidR="0033401E" w:rsidRDefault="00DF79E1" w:rsidP="008766D0">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1A451B">
        <w:rPr>
          <w:b/>
          <w:sz w:val="24"/>
          <w:szCs w:val="24"/>
        </w:rPr>
        <w:t xml:space="preserve"> </w:t>
      </w: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3BAFFFC2" w:rsidR="00DF79E1"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9F38BDE" w14:textId="63D040F9" w:rsidR="00FC4584" w:rsidRDefault="00FC4584" w:rsidP="00FC4584">
      <w:pPr>
        <w:pStyle w:val="ListParagraph"/>
        <w:ind w:left="1080"/>
        <w:rPr>
          <w:iCs/>
          <w:sz w:val="24"/>
          <w:szCs w:val="24"/>
        </w:rPr>
      </w:pPr>
      <w:r>
        <w:rPr>
          <w:iCs/>
          <w:sz w:val="24"/>
          <w:szCs w:val="24"/>
        </w:rPr>
        <w:t xml:space="preserve">The team members included </w:t>
      </w:r>
      <w:r w:rsidR="00206262">
        <w:rPr>
          <w:iCs/>
          <w:sz w:val="24"/>
          <w:szCs w:val="24"/>
        </w:rPr>
        <w:t xml:space="preserve">in </w:t>
      </w:r>
      <w:r>
        <w:rPr>
          <w:iCs/>
          <w:sz w:val="24"/>
          <w:szCs w:val="24"/>
        </w:rPr>
        <w:t xml:space="preserve">this ALG grant worked quickly to develop a timeline for </w:t>
      </w:r>
      <w:r w:rsidR="001752B0">
        <w:rPr>
          <w:iCs/>
          <w:sz w:val="24"/>
          <w:szCs w:val="24"/>
        </w:rPr>
        <w:t>developing and implementing</w:t>
      </w:r>
      <w:r>
        <w:rPr>
          <w:iCs/>
          <w:sz w:val="24"/>
          <w:szCs w:val="24"/>
        </w:rPr>
        <w:t xml:space="preserve"> course materials. During the fall 2019 and early spring 2020 semester, each member was responsible for generating OER for a portion of the textbook</w:t>
      </w:r>
      <w:r w:rsidR="00206262">
        <w:rPr>
          <w:iCs/>
          <w:sz w:val="24"/>
          <w:szCs w:val="24"/>
        </w:rPr>
        <w:t>,</w:t>
      </w:r>
      <w:r>
        <w:rPr>
          <w:iCs/>
          <w:sz w:val="24"/>
          <w:szCs w:val="24"/>
        </w:rPr>
        <w:t xml:space="preserve"> </w:t>
      </w:r>
      <w:r w:rsidR="00206262">
        <w:rPr>
          <w:iCs/>
          <w:sz w:val="24"/>
          <w:szCs w:val="24"/>
        </w:rPr>
        <w:t>intending to have</w:t>
      </w:r>
      <w:r>
        <w:rPr>
          <w:iCs/>
          <w:sz w:val="24"/>
          <w:szCs w:val="24"/>
        </w:rPr>
        <w:t xml:space="preserve"> all edits done </w:t>
      </w:r>
      <w:r w:rsidR="00F521FF">
        <w:rPr>
          <w:iCs/>
          <w:sz w:val="24"/>
          <w:szCs w:val="24"/>
        </w:rPr>
        <w:t>for piloting in</w:t>
      </w:r>
      <w:r>
        <w:rPr>
          <w:iCs/>
          <w:sz w:val="24"/>
          <w:szCs w:val="24"/>
        </w:rPr>
        <w:t xml:space="preserve"> summer 2020. Additionally</w:t>
      </w:r>
      <w:r w:rsidR="00206262">
        <w:rPr>
          <w:iCs/>
          <w:sz w:val="24"/>
          <w:szCs w:val="24"/>
        </w:rPr>
        <w:t>,</w:t>
      </w:r>
      <w:r>
        <w:rPr>
          <w:iCs/>
          <w:sz w:val="24"/>
          <w:szCs w:val="24"/>
        </w:rPr>
        <w:t xml:space="preserve"> all IRB materials were generated and approved for spring 2020 implementation. Surveys were administered in the spring 2020 </w:t>
      </w:r>
      <w:r w:rsidR="00206262">
        <w:rPr>
          <w:iCs/>
          <w:sz w:val="24"/>
          <w:szCs w:val="24"/>
        </w:rPr>
        <w:t xml:space="preserve">semester </w:t>
      </w:r>
      <w:r>
        <w:rPr>
          <w:iCs/>
          <w:sz w:val="24"/>
          <w:szCs w:val="24"/>
        </w:rPr>
        <w:t xml:space="preserve">to students in all sections of BIOL 3400K using a traditional textbook and then to all sections of BIOL 3400K that had access to the OER in summer and fall 2020. </w:t>
      </w:r>
      <w:r w:rsidR="00F521FF">
        <w:rPr>
          <w:iCs/>
          <w:sz w:val="24"/>
          <w:szCs w:val="24"/>
        </w:rPr>
        <w:t>Generating and editing the OER materials was challenging, but feasible with five team members.</w:t>
      </w:r>
    </w:p>
    <w:p w14:paraId="70E300FF" w14:textId="0E986DD7" w:rsidR="00F521FF" w:rsidRPr="00F521FF" w:rsidRDefault="00F521FF" w:rsidP="00F521FF">
      <w:pPr>
        <w:pStyle w:val="ListParagraph"/>
        <w:ind w:left="1080"/>
        <w:rPr>
          <w:iCs/>
          <w:sz w:val="24"/>
          <w:szCs w:val="24"/>
        </w:rPr>
      </w:pPr>
      <w:r>
        <w:rPr>
          <w:iCs/>
          <w:sz w:val="24"/>
          <w:szCs w:val="24"/>
        </w:rPr>
        <w:t>A significant challenge</w:t>
      </w:r>
      <w:r w:rsidR="00F95C09">
        <w:rPr>
          <w:iCs/>
          <w:sz w:val="24"/>
          <w:szCs w:val="24"/>
        </w:rPr>
        <w:t xml:space="preserve"> was the effect of COVID-19 school closures and conversion to online teaching in the spring and online and/or hybrid teaching in the summer and fall 2020 semesters. We believe this had a significant impact on student learning and success that was independent of the OER </w:t>
      </w:r>
      <w:r w:rsidR="001752B0">
        <w:rPr>
          <w:iCs/>
          <w:sz w:val="24"/>
          <w:szCs w:val="24"/>
        </w:rPr>
        <w:t xml:space="preserve">implementation </w:t>
      </w:r>
      <w:r w:rsidR="00F95C09">
        <w:rPr>
          <w:iCs/>
          <w:sz w:val="24"/>
          <w:szCs w:val="24"/>
        </w:rPr>
        <w:t>in the classroom. The effect of students being forced into online learning or hybrid environments, along with other personal challenges associated with the pandemic, may not have been the best for individual student success</w:t>
      </w:r>
      <w:r w:rsidR="001752B0">
        <w:rPr>
          <w:iCs/>
          <w:sz w:val="24"/>
          <w:szCs w:val="24"/>
        </w:rPr>
        <w:t xml:space="preserve">. </w:t>
      </w:r>
      <w:r w:rsidRPr="00F521FF">
        <w:rPr>
          <w:iCs/>
          <w:sz w:val="24"/>
          <w:szCs w:val="24"/>
        </w:rPr>
        <w:t>This is likely why the grade distributions and DFW rates deviate from expectations after the implementation of the OER.</w:t>
      </w:r>
    </w:p>
    <w:p w14:paraId="6089662C" w14:textId="77777777" w:rsidR="00206262" w:rsidRPr="00292255" w:rsidRDefault="00206262">
      <w:pPr>
        <w:pStyle w:val="ListParagraph"/>
        <w:ind w:left="1080"/>
        <w:rPr>
          <w:iCs/>
          <w:sz w:val="24"/>
          <w:szCs w:val="24"/>
        </w:rPr>
      </w:pPr>
    </w:p>
    <w:p w14:paraId="6F43F3B1" w14:textId="074BD67D" w:rsidR="00DF79E1"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28F2FDB" w14:textId="76EB153C" w:rsidR="00FC4584" w:rsidRPr="001752B0" w:rsidRDefault="00FC4584">
      <w:pPr>
        <w:pStyle w:val="ListParagraph"/>
        <w:ind w:left="1080"/>
        <w:rPr>
          <w:sz w:val="24"/>
          <w:szCs w:val="24"/>
        </w:rPr>
      </w:pPr>
      <w:r w:rsidRPr="00292255">
        <w:rPr>
          <w:rFonts w:cs="Times New Roman"/>
          <w:color w:val="000000" w:themeColor="text1"/>
          <w:sz w:val="24"/>
          <w:szCs w:val="24"/>
        </w:rPr>
        <w:t xml:space="preserve">This transformation provided two </w:t>
      </w:r>
      <w:r w:rsidR="00F521FF">
        <w:rPr>
          <w:rFonts w:cs="Times New Roman"/>
          <w:color w:val="000000" w:themeColor="text1"/>
          <w:sz w:val="24"/>
          <w:szCs w:val="24"/>
        </w:rPr>
        <w:t>significant</w:t>
      </w:r>
      <w:r w:rsidR="00F521FF" w:rsidRPr="00292255">
        <w:rPr>
          <w:rFonts w:cs="Times New Roman"/>
          <w:color w:val="000000" w:themeColor="text1"/>
          <w:sz w:val="24"/>
          <w:szCs w:val="24"/>
        </w:rPr>
        <w:t xml:space="preserve"> </w:t>
      </w:r>
      <w:r w:rsidRPr="00292255">
        <w:rPr>
          <w:rFonts w:cs="Times New Roman"/>
          <w:color w:val="000000" w:themeColor="text1"/>
          <w:sz w:val="24"/>
          <w:szCs w:val="24"/>
        </w:rPr>
        <w:t xml:space="preserve">positive impacts on faculty members teaching cell biology and the biology discipline. </w:t>
      </w:r>
      <w:r w:rsidR="00206262" w:rsidRPr="001752B0">
        <w:rPr>
          <w:rFonts w:cs="Times New Roman"/>
          <w:color w:val="000000" w:themeColor="text1"/>
          <w:sz w:val="24"/>
          <w:szCs w:val="24"/>
        </w:rPr>
        <w:t>First, t</w:t>
      </w:r>
      <w:r w:rsidRPr="001752B0">
        <w:rPr>
          <w:rFonts w:cs="Times New Roman"/>
          <w:color w:val="000000" w:themeColor="text1"/>
          <w:sz w:val="24"/>
          <w:szCs w:val="24"/>
        </w:rPr>
        <w:t xml:space="preserve">his collaboration allowed faculty to generate a lecture curriculum that directly aligns with the student learning outcomes generated for this course.  </w:t>
      </w:r>
      <w:r w:rsidR="00206262" w:rsidRPr="001752B0">
        <w:rPr>
          <w:sz w:val="24"/>
          <w:szCs w:val="24"/>
        </w:rPr>
        <w:t xml:space="preserve">Second, </w:t>
      </w:r>
      <w:r w:rsidRPr="001752B0">
        <w:rPr>
          <w:sz w:val="24"/>
          <w:szCs w:val="24"/>
        </w:rPr>
        <w:t>by providing a no-cost textbook that is integrated with the course learning outcomes</w:t>
      </w:r>
      <w:r w:rsidR="00206262" w:rsidRPr="001752B0">
        <w:rPr>
          <w:sz w:val="24"/>
          <w:szCs w:val="24"/>
        </w:rPr>
        <w:t>, we</w:t>
      </w:r>
      <w:r w:rsidRPr="001752B0">
        <w:rPr>
          <w:sz w:val="24"/>
          <w:szCs w:val="24"/>
        </w:rPr>
        <w:t xml:space="preserve"> expec</w:t>
      </w:r>
      <w:r w:rsidR="00F521FF">
        <w:rPr>
          <w:sz w:val="24"/>
          <w:szCs w:val="24"/>
        </w:rPr>
        <w:t>ted</w:t>
      </w:r>
      <w:r w:rsidR="00206262" w:rsidRPr="001752B0">
        <w:rPr>
          <w:sz w:val="24"/>
          <w:szCs w:val="24"/>
        </w:rPr>
        <w:t xml:space="preserve"> </w:t>
      </w:r>
      <w:r w:rsidRPr="001752B0">
        <w:rPr>
          <w:sz w:val="24"/>
          <w:szCs w:val="24"/>
        </w:rPr>
        <w:t>to increase retention and success in upper-division coursework for a significant number of students in the School of Science and Technology at GGC.</w:t>
      </w:r>
    </w:p>
    <w:p w14:paraId="39F1DE56" w14:textId="77777777" w:rsidR="00206262" w:rsidRPr="00206262" w:rsidRDefault="00206262">
      <w:pPr>
        <w:pStyle w:val="ListParagraph"/>
        <w:ind w:left="1080"/>
      </w:pPr>
    </w:p>
    <w:p w14:paraId="64905D0F" w14:textId="1CD02B90" w:rsidR="00F7394A" w:rsidRPr="00F7394A" w:rsidRDefault="00DF79E1" w:rsidP="00F7394A">
      <w:pPr>
        <w:pStyle w:val="ListParagraph"/>
        <w:numPr>
          <w:ilvl w:val="0"/>
          <w:numId w:val="8"/>
        </w:numPr>
        <w:rPr>
          <w:i/>
          <w:iCs/>
          <w:sz w:val="24"/>
          <w:szCs w:val="24"/>
        </w:rPr>
      </w:pPr>
      <w:r w:rsidRPr="003F4D85">
        <w:rPr>
          <w:i/>
          <w:iCs/>
          <w:sz w:val="24"/>
          <w:szCs w:val="24"/>
        </w:rPr>
        <w:t>Transformative impacts on your students and their performance</w:t>
      </w:r>
    </w:p>
    <w:p w14:paraId="0EC61205" w14:textId="36F7D3B6" w:rsidR="00F7394A" w:rsidRPr="00FC4584" w:rsidRDefault="00F7394A" w:rsidP="00F7394A">
      <w:pPr>
        <w:pStyle w:val="ListParagraph"/>
        <w:ind w:left="1080"/>
        <w:rPr>
          <w:rFonts w:cs="Times New Roman"/>
          <w:color w:val="000000" w:themeColor="text1"/>
          <w:szCs w:val="24"/>
        </w:rPr>
      </w:pPr>
      <w:r>
        <w:rPr>
          <w:iCs/>
          <w:sz w:val="24"/>
          <w:szCs w:val="24"/>
        </w:rPr>
        <w:lastRenderedPageBreak/>
        <w:t>Student attitudes and responses towards the textbook were positive. During informal conversations with faculty and in survey response</w:t>
      </w:r>
      <w:r w:rsidR="001752B0">
        <w:rPr>
          <w:iCs/>
          <w:sz w:val="24"/>
          <w:szCs w:val="24"/>
        </w:rPr>
        <w:t>,</w:t>
      </w:r>
      <w:r>
        <w:rPr>
          <w:iCs/>
          <w:sz w:val="24"/>
          <w:szCs w:val="24"/>
        </w:rPr>
        <w:t xml:space="preserve"> they expressed that they appreciated that the textbook was specific to the course content covered and highly appreciated the cost savings.</w:t>
      </w:r>
      <w:r w:rsidRPr="001752B0">
        <w:rPr>
          <w:iCs/>
          <w:sz w:val="28"/>
          <w:szCs w:val="24"/>
        </w:rPr>
        <w:t xml:space="preserve"> </w:t>
      </w:r>
      <w:r w:rsidRPr="001752B0">
        <w:rPr>
          <w:rFonts w:cs="Times New Roman"/>
          <w:sz w:val="24"/>
          <w:szCs w:val="24"/>
        </w:rPr>
        <w:t xml:space="preserve">Since the costs associated with required courses can be substantial, providing our students with free, open-access course materials </w:t>
      </w:r>
      <w:r w:rsidR="00206262" w:rsidRPr="001752B0">
        <w:rPr>
          <w:rFonts w:cs="Times New Roman"/>
          <w:sz w:val="24"/>
          <w:szCs w:val="24"/>
        </w:rPr>
        <w:t xml:space="preserve">are </w:t>
      </w:r>
      <w:r w:rsidRPr="001752B0">
        <w:rPr>
          <w:rFonts w:cs="Times New Roman"/>
          <w:sz w:val="24"/>
          <w:szCs w:val="24"/>
        </w:rPr>
        <w:t xml:space="preserve">crucial to easing their financial burden. Through this project, the institution will see the impact on savings on the second largest group of students on campus – those who major or minor </w:t>
      </w:r>
      <w:r w:rsidR="00206262" w:rsidRPr="001752B0">
        <w:rPr>
          <w:rFonts w:cs="Times New Roman"/>
          <w:sz w:val="24"/>
          <w:szCs w:val="24"/>
        </w:rPr>
        <w:t>i</w:t>
      </w:r>
      <w:r w:rsidR="00206262">
        <w:rPr>
          <w:rFonts w:cs="Times New Roman"/>
          <w:sz w:val="24"/>
          <w:szCs w:val="24"/>
        </w:rPr>
        <w:t>n</w:t>
      </w:r>
      <w:r w:rsidR="00206262" w:rsidRPr="001752B0">
        <w:rPr>
          <w:rFonts w:cs="Times New Roman"/>
          <w:sz w:val="24"/>
          <w:szCs w:val="24"/>
        </w:rPr>
        <w:t xml:space="preserve"> </w:t>
      </w:r>
      <w:r w:rsidRPr="001752B0">
        <w:rPr>
          <w:rFonts w:cs="Times New Roman"/>
          <w:sz w:val="24"/>
          <w:szCs w:val="24"/>
        </w:rPr>
        <w:t>Biology.</w:t>
      </w:r>
    </w:p>
    <w:p w14:paraId="1CF823C7" w14:textId="1EBE8A23" w:rsidR="00F7394A" w:rsidRPr="00F7394A" w:rsidRDefault="00F7394A" w:rsidP="00F7394A">
      <w:pPr>
        <w:pStyle w:val="ListParagraph"/>
        <w:ind w:left="1080"/>
        <w:rPr>
          <w:iCs/>
          <w:sz w:val="24"/>
          <w:szCs w:val="24"/>
        </w:rPr>
      </w:pPr>
    </w:p>
    <w:p w14:paraId="3B7F9898" w14:textId="77777777" w:rsidR="00F1379D" w:rsidRPr="003F4D85" w:rsidRDefault="00F1379D" w:rsidP="00F1379D">
      <w:pPr>
        <w:pStyle w:val="ListParagraph"/>
        <w:ind w:left="1080"/>
        <w:rPr>
          <w:i/>
          <w:iCs/>
          <w:sz w:val="24"/>
          <w:szCs w:val="24"/>
        </w:rPr>
      </w:pPr>
    </w:p>
    <w:p w14:paraId="0D1B3650" w14:textId="557D901A"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4D0E16A0" w14:textId="16ED4C7E" w:rsidR="00221402" w:rsidRDefault="00221402" w:rsidP="00221402">
      <w:pPr>
        <w:pStyle w:val="ListParagraph"/>
        <w:rPr>
          <w:iCs/>
          <w:sz w:val="24"/>
          <w:szCs w:val="24"/>
        </w:rPr>
      </w:pPr>
      <w:r>
        <w:rPr>
          <w:iCs/>
          <w:sz w:val="24"/>
          <w:szCs w:val="24"/>
        </w:rPr>
        <w:t>The team members qu</w:t>
      </w:r>
      <w:r w:rsidR="00FF37D9">
        <w:rPr>
          <w:iCs/>
          <w:sz w:val="24"/>
          <w:szCs w:val="24"/>
        </w:rPr>
        <w:t>ickly develop</w:t>
      </w:r>
      <w:r w:rsidR="00F521FF">
        <w:rPr>
          <w:iCs/>
          <w:sz w:val="24"/>
          <w:szCs w:val="24"/>
        </w:rPr>
        <w:t>ed</w:t>
      </w:r>
      <w:r w:rsidR="00FF37D9">
        <w:rPr>
          <w:iCs/>
          <w:sz w:val="24"/>
          <w:szCs w:val="24"/>
        </w:rPr>
        <w:t xml:space="preserve"> a</w:t>
      </w:r>
      <w:r>
        <w:rPr>
          <w:iCs/>
          <w:sz w:val="24"/>
          <w:szCs w:val="24"/>
        </w:rPr>
        <w:t xml:space="preserve"> specific </w:t>
      </w:r>
      <w:r w:rsidR="00FF37D9">
        <w:rPr>
          <w:iCs/>
          <w:sz w:val="24"/>
          <w:szCs w:val="24"/>
        </w:rPr>
        <w:t>implementation</w:t>
      </w:r>
      <w:r>
        <w:rPr>
          <w:iCs/>
          <w:sz w:val="24"/>
          <w:szCs w:val="24"/>
        </w:rPr>
        <w:t xml:space="preserve"> timeline after the ALG grant was awarded. We did anticipate generation of course materials would be time consuming, but </w:t>
      </w:r>
      <w:r w:rsidR="00FF37D9">
        <w:rPr>
          <w:iCs/>
          <w:sz w:val="24"/>
          <w:szCs w:val="24"/>
        </w:rPr>
        <w:t>we did n</w:t>
      </w:r>
      <w:r>
        <w:rPr>
          <w:iCs/>
          <w:sz w:val="24"/>
          <w:szCs w:val="24"/>
        </w:rPr>
        <w:t xml:space="preserve">ot anticipate </w:t>
      </w:r>
      <w:r w:rsidR="00F521FF">
        <w:rPr>
          <w:iCs/>
          <w:sz w:val="24"/>
          <w:szCs w:val="24"/>
        </w:rPr>
        <w:t>=</w:t>
      </w:r>
      <w:r w:rsidR="00F521FF">
        <w:rPr>
          <w:iCs/>
          <w:sz w:val="24"/>
          <w:szCs w:val="24"/>
        </w:rPr>
        <w:t xml:space="preserve"> </w:t>
      </w:r>
      <w:r>
        <w:rPr>
          <w:iCs/>
          <w:sz w:val="24"/>
          <w:szCs w:val="24"/>
        </w:rPr>
        <w:t>the significant amou</w:t>
      </w:r>
      <w:r w:rsidR="00FF37D9">
        <w:rPr>
          <w:iCs/>
          <w:sz w:val="24"/>
          <w:szCs w:val="24"/>
        </w:rPr>
        <w:t>n</w:t>
      </w:r>
      <w:r>
        <w:rPr>
          <w:iCs/>
          <w:sz w:val="24"/>
          <w:szCs w:val="24"/>
        </w:rPr>
        <w:t>t of time that it would</w:t>
      </w:r>
      <w:r w:rsidR="00FF37D9">
        <w:rPr>
          <w:iCs/>
          <w:sz w:val="24"/>
          <w:szCs w:val="24"/>
        </w:rPr>
        <w:t xml:space="preserve"> take for team member</w:t>
      </w:r>
      <w:r w:rsidR="00F521FF">
        <w:rPr>
          <w:iCs/>
          <w:sz w:val="24"/>
          <w:szCs w:val="24"/>
        </w:rPr>
        <w:t>s</w:t>
      </w:r>
      <w:r w:rsidR="00FF37D9">
        <w:rPr>
          <w:iCs/>
          <w:sz w:val="24"/>
          <w:szCs w:val="24"/>
        </w:rPr>
        <w:t xml:space="preserve"> to edit all </w:t>
      </w:r>
      <w:r w:rsidR="00F521FF">
        <w:rPr>
          <w:iCs/>
          <w:sz w:val="24"/>
          <w:szCs w:val="24"/>
        </w:rPr>
        <w:t>textbook</w:t>
      </w:r>
      <w:r w:rsidR="00FF37D9">
        <w:rPr>
          <w:iCs/>
          <w:sz w:val="24"/>
          <w:szCs w:val="24"/>
        </w:rPr>
        <w:t xml:space="preserve"> chapters. Next time</w:t>
      </w:r>
      <w:r w:rsidR="00206262">
        <w:rPr>
          <w:iCs/>
          <w:sz w:val="24"/>
          <w:szCs w:val="24"/>
        </w:rPr>
        <w:t>,</w:t>
      </w:r>
      <w:r w:rsidR="00FF37D9">
        <w:rPr>
          <w:iCs/>
          <w:sz w:val="24"/>
          <w:szCs w:val="24"/>
        </w:rPr>
        <w:t xml:space="preserve"> we would leave more time for editing </w:t>
      </w:r>
      <w:r w:rsidR="00F521FF">
        <w:rPr>
          <w:iCs/>
          <w:sz w:val="24"/>
          <w:szCs w:val="24"/>
        </w:rPr>
        <w:t xml:space="preserve">prior to </w:t>
      </w:r>
      <w:r w:rsidR="00FF37D9">
        <w:rPr>
          <w:iCs/>
          <w:sz w:val="24"/>
          <w:szCs w:val="24"/>
        </w:rPr>
        <w:t>piloting the textbook within the classroom.</w:t>
      </w:r>
    </w:p>
    <w:p w14:paraId="2DF1841A" w14:textId="2E38DAF0" w:rsidR="00FF37D9" w:rsidRPr="00221402" w:rsidRDefault="00FF37D9" w:rsidP="00221402">
      <w:pPr>
        <w:pStyle w:val="ListParagraph"/>
        <w:rPr>
          <w:iCs/>
          <w:sz w:val="24"/>
          <w:szCs w:val="24"/>
        </w:rPr>
      </w:pPr>
      <w:r>
        <w:rPr>
          <w:iCs/>
          <w:sz w:val="24"/>
          <w:szCs w:val="24"/>
        </w:rPr>
        <w:t xml:space="preserve">Additionally, we used several figures from existing OER sources (such as </w:t>
      </w:r>
      <w:proofErr w:type="spellStart"/>
      <w:r w:rsidR="00206262">
        <w:rPr>
          <w:iCs/>
          <w:sz w:val="24"/>
          <w:szCs w:val="24"/>
        </w:rPr>
        <w:t>L</w:t>
      </w:r>
      <w:r>
        <w:rPr>
          <w:iCs/>
          <w:sz w:val="24"/>
          <w:szCs w:val="24"/>
        </w:rPr>
        <w:t>ibretexts</w:t>
      </w:r>
      <w:proofErr w:type="spellEnd"/>
      <w:r>
        <w:rPr>
          <w:iCs/>
          <w:sz w:val="24"/>
          <w:szCs w:val="24"/>
        </w:rPr>
        <w:t xml:space="preserve">) but learned that copying and pasting the figures often resulted in low resolution </w:t>
      </w:r>
      <w:r w:rsidR="00F521FF">
        <w:rPr>
          <w:iCs/>
          <w:sz w:val="24"/>
          <w:szCs w:val="24"/>
        </w:rPr>
        <w:t>that hindered readability in the text and usefulness in PowerPoint slides.</w:t>
      </w:r>
      <w:r>
        <w:rPr>
          <w:iCs/>
          <w:sz w:val="24"/>
          <w:szCs w:val="24"/>
        </w:rPr>
        <w:t>.</w:t>
      </w:r>
      <w:r w:rsidR="00062EBD">
        <w:rPr>
          <w:iCs/>
          <w:sz w:val="24"/>
          <w:szCs w:val="24"/>
        </w:rPr>
        <w:t xml:space="preserve"> It may have been easier to generate more of our own figures for consistency and resolution purposes.</w:t>
      </w:r>
    </w:p>
    <w:p w14:paraId="6E7CF058" w14:textId="4F3D3DDD" w:rsidR="00101A24" w:rsidRPr="004F2656" w:rsidRDefault="00101A24" w:rsidP="003F4D85">
      <w:pPr>
        <w:pStyle w:val="Heading1"/>
        <w:numPr>
          <w:ilvl w:val="0"/>
          <w:numId w:val="18"/>
        </w:numPr>
        <w:ind w:left="360"/>
      </w:pPr>
      <w:r w:rsidRPr="004F2656">
        <w:t>Quotes</w:t>
      </w:r>
    </w:p>
    <w:p w14:paraId="6B019FC3" w14:textId="1D1D0F79"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6960C924" w14:textId="2F2F0FA2" w:rsidR="00D35143" w:rsidRDefault="00D35143" w:rsidP="00D35143">
      <w:pPr>
        <w:spacing w:after="0" w:line="240" w:lineRule="auto"/>
        <w:rPr>
          <w:rFonts w:ascii="Calibri" w:eastAsia="Times New Roman" w:hAnsi="Calibri" w:cs="Calibri"/>
          <w:color w:val="000000"/>
        </w:rPr>
      </w:pPr>
      <w:r>
        <w:rPr>
          <w:rFonts w:ascii="Calibri" w:eastAsia="Times New Roman" w:hAnsi="Calibri" w:cs="Calibri"/>
          <w:color w:val="000000"/>
        </w:rPr>
        <w:t>Quote #1: “</w:t>
      </w:r>
      <w:r w:rsidRPr="00D35143">
        <w:rPr>
          <w:rFonts w:ascii="Calibri" w:eastAsia="Times New Roman" w:hAnsi="Calibri" w:cs="Calibri"/>
          <w:color w:val="000000"/>
        </w:rPr>
        <w:t>Yes, having free access to a textbook affected my learning in a positive way. Sometimes traditional textbooks go into further detail of the topic and can be difficult to understand. The free BIOL3400K textbook was easy to read and displayed great examples and broke down cell processes just a little easier than the tra</w:t>
      </w:r>
      <w:r>
        <w:rPr>
          <w:rFonts w:ascii="Calibri" w:eastAsia="Times New Roman" w:hAnsi="Calibri" w:cs="Calibri"/>
          <w:color w:val="000000"/>
        </w:rPr>
        <w:t>ditional huge college textbook.”</w:t>
      </w:r>
    </w:p>
    <w:p w14:paraId="3B778AC6" w14:textId="77777777" w:rsidR="00D35143" w:rsidRDefault="00D35143" w:rsidP="00D35143">
      <w:pPr>
        <w:spacing w:after="0" w:line="240" w:lineRule="auto"/>
        <w:rPr>
          <w:rFonts w:ascii="Calibri" w:eastAsia="Times New Roman" w:hAnsi="Calibri" w:cs="Calibri"/>
          <w:color w:val="000000"/>
        </w:rPr>
      </w:pPr>
    </w:p>
    <w:p w14:paraId="3214F6DC" w14:textId="77777777" w:rsidR="00D35143" w:rsidRDefault="00D35143" w:rsidP="00D35143">
      <w:pPr>
        <w:rPr>
          <w:rFonts w:ascii="Calibri" w:eastAsia="Times New Roman" w:hAnsi="Calibri" w:cs="Calibri"/>
          <w:color w:val="000000"/>
        </w:rPr>
      </w:pPr>
      <w:r>
        <w:rPr>
          <w:rFonts w:ascii="Calibri" w:eastAsia="Times New Roman" w:hAnsi="Calibri" w:cs="Calibri"/>
          <w:color w:val="000000"/>
        </w:rPr>
        <w:t>Quote #2: “</w:t>
      </w:r>
      <w:r w:rsidRPr="00D35143">
        <w:rPr>
          <w:rFonts w:ascii="Calibri" w:eastAsia="Times New Roman" w:hAnsi="Calibri" w:cs="Calibri"/>
          <w:color w:val="000000"/>
        </w:rPr>
        <w:t>Having a free access to a free textbook help me a lot in my learning and success in BIOL3400K. Textbook can be very expensive and I sometimes have to consider whether I need to buy the textbook for the course. Having this textbook access for free offers me another way to study for my exam and also I can pre-read the knowledge before the lecture.</w:t>
      </w:r>
      <w:r>
        <w:rPr>
          <w:rFonts w:ascii="Calibri" w:eastAsia="Times New Roman" w:hAnsi="Calibri" w:cs="Calibri"/>
          <w:color w:val="000000"/>
        </w:rPr>
        <w:t>”</w:t>
      </w:r>
    </w:p>
    <w:p w14:paraId="4E28A875" w14:textId="7413AE5C" w:rsidR="00D35143" w:rsidRPr="00D35143" w:rsidRDefault="00D35143" w:rsidP="00D35143">
      <w:pPr>
        <w:rPr>
          <w:rFonts w:ascii="Calibri" w:eastAsia="Times New Roman" w:hAnsi="Calibri" w:cs="Calibri"/>
          <w:color w:val="000000"/>
        </w:rPr>
      </w:pPr>
      <w:r>
        <w:rPr>
          <w:rFonts w:ascii="Calibri" w:eastAsia="Times New Roman" w:hAnsi="Calibri" w:cs="Calibri"/>
          <w:color w:val="000000"/>
        </w:rPr>
        <w:t>Quote #3: “</w:t>
      </w:r>
      <w:r w:rsidRPr="00D35143">
        <w:rPr>
          <w:rFonts w:ascii="Calibri" w:eastAsia="Times New Roman" w:hAnsi="Calibri" w:cs="Calibri"/>
          <w:color w:val="000000"/>
        </w:rPr>
        <w:t>Having access to a free textbook helped to be able to work/study for the course anywhere. It also took the financial strain of buying/renting/borrowing the book off of me! I also enjoyed the fact that the file for the book was relatively small so I could download it on my phone.</w:t>
      </w:r>
      <w:r>
        <w:rPr>
          <w:rFonts w:ascii="Calibri" w:eastAsia="Times New Roman" w:hAnsi="Calibri" w:cs="Calibri"/>
          <w:color w:val="000000"/>
        </w:rPr>
        <w:t>”</w:t>
      </w:r>
    </w:p>
    <w:p w14:paraId="028E503F" w14:textId="236E3698" w:rsidR="00D35143" w:rsidRPr="00D35143" w:rsidRDefault="00D35143" w:rsidP="00D35143">
      <w:pPr>
        <w:rPr>
          <w:rFonts w:ascii="Calibri" w:eastAsia="Times New Roman" w:hAnsi="Calibri" w:cs="Calibri"/>
          <w:color w:val="000000"/>
        </w:rPr>
      </w:pPr>
    </w:p>
    <w:p w14:paraId="41891132" w14:textId="6AB87292" w:rsidR="00D35143" w:rsidRPr="00D35143" w:rsidRDefault="00D35143" w:rsidP="00D35143">
      <w:pPr>
        <w:spacing w:after="0" w:line="240" w:lineRule="auto"/>
        <w:rPr>
          <w:rFonts w:ascii="Calibri" w:eastAsia="Times New Roman" w:hAnsi="Calibri" w:cs="Calibri"/>
          <w:color w:val="000000"/>
        </w:rPr>
      </w:pPr>
    </w:p>
    <w:p w14:paraId="7EE743C9" w14:textId="77777777" w:rsidR="00D35143" w:rsidRPr="003F4D85" w:rsidRDefault="00D35143" w:rsidP="003F4D85">
      <w:pPr>
        <w:ind w:left="360"/>
        <w:rPr>
          <w:i/>
          <w:iCs/>
          <w:sz w:val="24"/>
          <w:szCs w:val="24"/>
        </w:rPr>
      </w:pPr>
    </w:p>
    <w:p w14:paraId="2569A2E6" w14:textId="613FDB49" w:rsidR="00B90CC8" w:rsidRPr="00B90CC8" w:rsidRDefault="00F70B70" w:rsidP="003F4D85">
      <w:pPr>
        <w:pStyle w:val="Heading1"/>
        <w:numPr>
          <w:ilvl w:val="0"/>
          <w:numId w:val="18"/>
        </w:numPr>
        <w:ind w:left="360"/>
      </w:pPr>
      <w:r w:rsidRPr="004F2656">
        <w:lastRenderedPageBreak/>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6DD946D1"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437EA262" w14:textId="4159617D" w:rsidR="00D63968" w:rsidRPr="00D63968" w:rsidRDefault="00D63968" w:rsidP="00C45872">
      <w:pPr>
        <w:ind w:left="1080"/>
        <w:rPr>
          <w:sz w:val="24"/>
          <w:szCs w:val="24"/>
        </w:rPr>
      </w:pPr>
      <w:r>
        <w:rPr>
          <w:sz w:val="24"/>
          <w:szCs w:val="24"/>
        </w:rPr>
        <w:t xml:space="preserve">Our </w:t>
      </w:r>
      <w:r w:rsidR="001752B0">
        <w:rPr>
          <w:sz w:val="24"/>
          <w:szCs w:val="24"/>
        </w:rPr>
        <w:t>L</w:t>
      </w:r>
      <w:r>
        <w:rPr>
          <w:sz w:val="24"/>
          <w:szCs w:val="24"/>
        </w:rPr>
        <w:t xml:space="preserve">ikert scale had </w:t>
      </w:r>
      <w:r w:rsidR="00292255">
        <w:rPr>
          <w:sz w:val="24"/>
          <w:szCs w:val="24"/>
        </w:rPr>
        <w:t>four</w:t>
      </w:r>
      <w:r>
        <w:rPr>
          <w:sz w:val="24"/>
          <w:szCs w:val="24"/>
        </w:rPr>
        <w:t xml:space="preserve"> choices (strongly agree, agree, disagree and strongly disagree)</w:t>
      </w:r>
      <w:r w:rsidR="00292255">
        <w:rPr>
          <w:sz w:val="24"/>
          <w:szCs w:val="24"/>
        </w:rPr>
        <w:t>;</w:t>
      </w:r>
      <w:r>
        <w:rPr>
          <w:sz w:val="24"/>
          <w:szCs w:val="24"/>
        </w:rPr>
        <w:t xml:space="preserve"> we grouped them into </w:t>
      </w:r>
      <w:r w:rsidR="00080730">
        <w:rPr>
          <w:sz w:val="24"/>
          <w:szCs w:val="24"/>
        </w:rPr>
        <w:t>positive responses (strongly agree and agree) and negative (disagree and strongly disagree). Several survey questions were asked</w:t>
      </w:r>
      <w:r w:rsidR="00292255">
        <w:rPr>
          <w:sz w:val="24"/>
          <w:szCs w:val="24"/>
        </w:rPr>
        <w:t>,</w:t>
      </w:r>
      <w:r w:rsidR="00080730">
        <w:rPr>
          <w:sz w:val="24"/>
          <w:szCs w:val="24"/>
        </w:rPr>
        <w:t xml:space="preserve"> and they are summarized in the table </w:t>
      </w:r>
      <w:r w:rsidR="001609C9">
        <w:rPr>
          <w:sz w:val="24"/>
          <w:szCs w:val="24"/>
        </w:rPr>
        <w:t>in 3b</w:t>
      </w:r>
      <w:r w:rsidR="00292255">
        <w:rPr>
          <w:sz w:val="24"/>
          <w:szCs w:val="24"/>
        </w:rPr>
        <w:t>,</w:t>
      </w:r>
      <w:r w:rsidR="001609C9">
        <w:rPr>
          <w:sz w:val="24"/>
          <w:szCs w:val="24"/>
        </w:rPr>
        <w:t xml:space="preserve"> but I have put the responses to the question “</w:t>
      </w:r>
      <w:r w:rsidR="001609C9" w:rsidRPr="001E01BE">
        <w:rPr>
          <w:rFonts w:ascii="Calibri" w:eastAsia="Times New Roman" w:hAnsi="Calibri" w:cs="Calibri"/>
          <w:color w:val="000000" w:themeColor="dark1"/>
          <w:kern w:val="24"/>
          <w:szCs w:val="32"/>
        </w:rPr>
        <w:t>Having a free (no-cost) BIOL3400K textbook increased my ab</w:t>
      </w:r>
      <w:r w:rsidR="001609C9">
        <w:rPr>
          <w:rFonts w:ascii="Calibri" w:eastAsia="Times New Roman" w:hAnsi="Calibri" w:cs="Calibri"/>
          <w:color w:val="000000" w:themeColor="dark1"/>
          <w:kern w:val="24"/>
          <w:szCs w:val="32"/>
        </w:rPr>
        <w:t>ility to succeed in this course” in this section.</w:t>
      </w:r>
    </w:p>
    <w:p w14:paraId="31FF61B6" w14:textId="3BE2A514"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1E01BE">
        <w:rPr>
          <w:sz w:val="24"/>
          <w:szCs w:val="24"/>
        </w:rPr>
        <w:t>174 survey response</w:t>
      </w:r>
      <w:r w:rsidR="00080730">
        <w:rPr>
          <w:sz w:val="24"/>
          <w:szCs w:val="24"/>
        </w:rPr>
        <w:t>s</w:t>
      </w:r>
    </w:p>
    <w:p w14:paraId="37FBFE79" w14:textId="179A2C10"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____</w:t>
      </w:r>
      <w:r w:rsidR="00080730">
        <w:rPr>
          <w:sz w:val="24"/>
          <w:szCs w:val="24"/>
        </w:rPr>
        <w:t>89</w:t>
      </w:r>
      <w:r w:rsidRPr="001D51FD">
        <w:rPr>
          <w:sz w:val="24"/>
          <w:szCs w:val="24"/>
        </w:rPr>
        <w:t>___ % of ___</w:t>
      </w:r>
      <w:r w:rsidR="00080730">
        <w:rPr>
          <w:sz w:val="24"/>
          <w:szCs w:val="24"/>
        </w:rPr>
        <w:t>174</w:t>
      </w:r>
      <w:r w:rsidRPr="001D51FD">
        <w:rPr>
          <w:sz w:val="24"/>
          <w:szCs w:val="24"/>
        </w:rPr>
        <w:t xml:space="preserve">_____ </w:t>
      </w:r>
      <w:r w:rsidR="001D51FD" w:rsidRPr="001D51FD">
        <w:rPr>
          <w:sz w:val="24"/>
          <w:szCs w:val="24"/>
        </w:rPr>
        <w:t xml:space="preserve">number of </w:t>
      </w:r>
      <w:r w:rsidRPr="001D51FD">
        <w:rPr>
          <w:sz w:val="24"/>
          <w:szCs w:val="24"/>
        </w:rPr>
        <w:t>respondents</w:t>
      </w:r>
    </w:p>
    <w:p w14:paraId="4B4A604B" w14:textId="260040D9"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____</w:t>
      </w:r>
      <w:r w:rsidR="00080730">
        <w:rPr>
          <w:sz w:val="24"/>
          <w:szCs w:val="24"/>
        </w:rPr>
        <w:t>11</w:t>
      </w:r>
      <w:r w:rsidR="001D51FD" w:rsidRPr="00684A25">
        <w:rPr>
          <w:sz w:val="24"/>
          <w:szCs w:val="24"/>
        </w:rPr>
        <w:t>___ % of ____</w:t>
      </w:r>
      <w:r w:rsidR="00080730">
        <w:rPr>
          <w:sz w:val="24"/>
          <w:szCs w:val="24"/>
        </w:rPr>
        <w:t>174</w:t>
      </w:r>
      <w:r w:rsidR="001609C9">
        <w:rPr>
          <w:sz w:val="24"/>
          <w:szCs w:val="24"/>
        </w:rPr>
        <w:t>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FC7501" w:rsidRDefault="001E0EE3" w:rsidP="003F4D85">
      <w:pPr>
        <w:ind w:left="1080"/>
        <w:rPr>
          <w:b/>
          <w:sz w:val="24"/>
          <w:szCs w:val="24"/>
        </w:rPr>
      </w:pPr>
      <w:r w:rsidRPr="00FC7501">
        <w:rPr>
          <w:i/>
          <w:sz w:val="24"/>
          <w:szCs w:val="24"/>
        </w:rPr>
        <w:t xml:space="preserve">Student outcomes should be described in detail in Section 3b. </w:t>
      </w:r>
      <w:r w:rsidR="00071B22" w:rsidRPr="00FC7501">
        <w:rPr>
          <w:sz w:val="24"/>
          <w:szCs w:val="24"/>
        </w:rPr>
        <w:t xml:space="preserve">      </w:t>
      </w:r>
    </w:p>
    <w:p w14:paraId="77014C4E" w14:textId="65184413" w:rsidR="00071B22" w:rsidRPr="00FC7501" w:rsidRDefault="00071B22" w:rsidP="003F4D85">
      <w:pPr>
        <w:pStyle w:val="ListParagraph"/>
        <w:ind w:left="1080"/>
        <w:rPr>
          <w:sz w:val="24"/>
          <w:szCs w:val="24"/>
        </w:rPr>
      </w:pPr>
      <w:r w:rsidRPr="00FC7501">
        <w:rPr>
          <w:sz w:val="24"/>
          <w:szCs w:val="24"/>
        </w:rPr>
        <w:t xml:space="preserve">Choose One:  </w:t>
      </w:r>
    </w:p>
    <w:p w14:paraId="07D93CF5" w14:textId="2C65203E" w:rsidR="00071B22" w:rsidRPr="00FC7501" w:rsidRDefault="00071B22" w:rsidP="003F4D85">
      <w:pPr>
        <w:pStyle w:val="ListParagraph"/>
        <w:numPr>
          <w:ilvl w:val="0"/>
          <w:numId w:val="16"/>
        </w:numPr>
        <w:ind w:left="1800"/>
        <w:rPr>
          <w:sz w:val="24"/>
          <w:szCs w:val="24"/>
        </w:rPr>
      </w:pPr>
      <w:r w:rsidRPr="00FC7501">
        <w:rPr>
          <w:sz w:val="24"/>
          <w:szCs w:val="24"/>
        </w:rPr>
        <w:t>___</w:t>
      </w:r>
      <w:r w:rsidR="003F4D85" w:rsidRPr="00FC7501">
        <w:rPr>
          <w:sz w:val="24"/>
          <w:szCs w:val="24"/>
        </w:rPr>
        <w:t xml:space="preserve"> </w:t>
      </w:r>
      <w:r w:rsidRPr="00FC7501">
        <w:rPr>
          <w:sz w:val="24"/>
          <w:szCs w:val="24"/>
        </w:rPr>
        <w:t>Positive: Higher performance outcomes measured over previous semester(s)</w:t>
      </w:r>
    </w:p>
    <w:p w14:paraId="340436C8" w14:textId="14055F55" w:rsidR="00071B22" w:rsidRPr="00FC7501" w:rsidRDefault="00071B22" w:rsidP="003F4D85">
      <w:pPr>
        <w:pStyle w:val="ListParagraph"/>
        <w:numPr>
          <w:ilvl w:val="0"/>
          <w:numId w:val="16"/>
        </w:numPr>
        <w:ind w:left="1800"/>
        <w:rPr>
          <w:sz w:val="24"/>
          <w:szCs w:val="24"/>
        </w:rPr>
      </w:pPr>
      <w:r w:rsidRPr="00FC7501">
        <w:rPr>
          <w:sz w:val="24"/>
          <w:szCs w:val="24"/>
        </w:rPr>
        <w:t>___ Neutral: Same performance outcomes over previous semester(s)</w:t>
      </w:r>
    </w:p>
    <w:p w14:paraId="21614FEB" w14:textId="0A3EABAB" w:rsidR="00C45872" w:rsidRPr="00FC7501" w:rsidRDefault="00071B22" w:rsidP="003F4D85">
      <w:pPr>
        <w:pStyle w:val="ListParagraph"/>
        <w:numPr>
          <w:ilvl w:val="0"/>
          <w:numId w:val="16"/>
        </w:numPr>
        <w:ind w:left="1800"/>
        <w:rPr>
          <w:sz w:val="24"/>
          <w:szCs w:val="24"/>
        </w:rPr>
      </w:pPr>
      <w:r w:rsidRPr="00FC7501">
        <w:rPr>
          <w:sz w:val="24"/>
          <w:szCs w:val="24"/>
        </w:rPr>
        <w:t>__</w:t>
      </w:r>
      <w:r w:rsidR="00FC7501" w:rsidRPr="00FC7501">
        <w:rPr>
          <w:sz w:val="24"/>
          <w:szCs w:val="24"/>
        </w:rPr>
        <w:t>x</w:t>
      </w:r>
      <w:r w:rsidRPr="00FC7501">
        <w:rPr>
          <w:sz w:val="24"/>
          <w:szCs w:val="24"/>
        </w:rPr>
        <w:t>_</w:t>
      </w:r>
      <w:r w:rsidR="003F4D85" w:rsidRPr="00FC7501">
        <w:rPr>
          <w:sz w:val="24"/>
          <w:szCs w:val="24"/>
        </w:rPr>
        <w:t xml:space="preserve"> </w:t>
      </w:r>
      <w:r w:rsidRPr="00FC7501">
        <w:rPr>
          <w:sz w:val="24"/>
          <w:szCs w:val="24"/>
        </w:rPr>
        <w:t xml:space="preserve">Negative: Lower performance outcomes over previous semester(s)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5513295E" w14:textId="77777777" w:rsidR="003F4D85" w:rsidRDefault="001E0EE3" w:rsidP="003F4D85">
      <w:pPr>
        <w:ind w:left="720"/>
        <w:rPr>
          <w:b/>
          <w:sz w:val="24"/>
          <w:szCs w:val="24"/>
        </w:rPr>
      </w:pPr>
      <w:r>
        <w:rPr>
          <w:b/>
          <w:sz w:val="24"/>
          <w:szCs w:val="24"/>
        </w:rPr>
        <w:t>Drop/Fail/Withdraw Rate:</w:t>
      </w:r>
    </w:p>
    <w:p w14:paraId="415051F7" w14:textId="20EA3C2C" w:rsidR="0033401E" w:rsidRPr="0033401E" w:rsidRDefault="0033401E" w:rsidP="003F4D85">
      <w:pPr>
        <w:ind w:left="1080"/>
        <w:rPr>
          <w:i/>
          <w:sz w:val="24"/>
          <w:szCs w:val="24"/>
        </w:rPr>
      </w:pPr>
      <w:r>
        <w:rPr>
          <w:i/>
          <w:sz w:val="24"/>
          <w:szCs w:val="24"/>
        </w:rPr>
        <w:t xml:space="preserve">Depending on what you and your institution can measure, this may also be known as a drop/failure rate or </w:t>
      </w:r>
      <w:proofErr w:type="gramStart"/>
      <w:r>
        <w:rPr>
          <w:i/>
          <w:sz w:val="24"/>
          <w:szCs w:val="24"/>
        </w:rPr>
        <w:t>a withdraw</w:t>
      </w:r>
      <w:proofErr w:type="gramEnd"/>
      <w:r>
        <w:rPr>
          <w:i/>
          <w:sz w:val="24"/>
          <w:szCs w:val="24"/>
        </w:rPr>
        <w:t>/failure rate.</w:t>
      </w:r>
    </w:p>
    <w:p w14:paraId="42D814CB" w14:textId="075EB355" w:rsidR="001E0EE3" w:rsidRPr="00FC7501" w:rsidRDefault="001E0EE3" w:rsidP="003F4D85">
      <w:pPr>
        <w:ind w:left="1080"/>
        <w:rPr>
          <w:sz w:val="24"/>
          <w:szCs w:val="24"/>
        </w:rPr>
      </w:pPr>
      <w:r w:rsidRPr="00FC7501">
        <w:rPr>
          <w:sz w:val="24"/>
          <w:szCs w:val="24"/>
        </w:rPr>
        <w:t>___</w:t>
      </w:r>
      <w:r w:rsidR="00FC7501" w:rsidRPr="00FC7501">
        <w:rPr>
          <w:sz w:val="24"/>
          <w:szCs w:val="24"/>
        </w:rPr>
        <w:t>25</w:t>
      </w:r>
      <w:r w:rsidRPr="00FC7501">
        <w:rPr>
          <w:sz w:val="24"/>
          <w:szCs w:val="24"/>
        </w:rPr>
        <w:t>____% of students, out of a total ____</w:t>
      </w:r>
      <w:r w:rsidR="00FC7501" w:rsidRPr="00FC7501">
        <w:rPr>
          <w:sz w:val="24"/>
          <w:szCs w:val="24"/>
        </w:rPr>
        <w:t>118</w:t>
      </w:r>
      <w:r w:rsidRPr="00FC7501">
        <w:rPr>
          <w:sz w:val="24"/>
          <w:szCs w:val="24"/>
        </w:rPr>
        <w:t xml:space="preserve">___ students affected, </w:t>
      </w:r>
      <w:r w:rsidR="003F4D85" w:rsidRPr="00FC7501">
        <w:rPr>
          <w:sz w:val="24"/>
          <w:szCs w:val="24"/>
        </w:rPr>
        <w:t>d</w:t>
      </w:r>
      <w:r w:rsidRPr="00FC7501">
        <w:rPr>
          <w:sz w:val="24"/>
          <w:szCs w:val="24"/>
        </w:rPr>
        <w:t xml:space="preserve">ropped/failed/withdrew from the course in the final semester of implementation. </w:t>
      </w:r>
    </w:p>
    <w:p w14:paraId="151B024A" w14:textId="77777777" w:rsidR="00071B22" w:rsidRPr="00FC7501" w:rsidRDefault="00071B22" w:rsidP="003F4D85">
      <w:pPr>
        <w:ind w:left="1080"/>
        <w:rPr>
          <w:sz w:val="24"/>
          <w:szCs w:val="24"/>
        </w:rPr>
      </w:pPr>
      <w:r w:rsidRPr="00FC7501">
        <w:rPr>
          <w:sz w:val="24"/>
          <w:szCs w:val="24"/>
        </w:rPr>
        <w:t xml:space="preserve">Choose One:  </w:t>
      </w:r>
    </w:p>
    <w:p w14:paraId="483393F2" w14:textId="33599FC9" w:rsidR="00071B22" w:rsidRPr="00FC7501" w:rsidRDefault="001E0EE3" w:rsidP="003F4D85">
      <w:pPr>
        <w:pStyle w:val="ListParagraph"/>
        <w:numPr>
          <w:ilvl w:val="0"/>
          <w:numId w:val="15"/>
        </w:numPr>
        <w:ind w:left="1800"/>
        <w:rPr>
          <w:sz w:val="24"/>
          <w:szCs w:val="24"/>
        </w:rPr>
      </w:pPr>
      <w:r w:rsidRPr="00FC7501">
        <w:rPr>
          <w:sz w:val="24"/>
          <w:szCs w:val="24"/>
        </w:rPr>
        <w:t>___</w:t>
      </w:r>
      <w:r w:rsidR="003F4D85" w:rsidRPr="00FC7501">
        <w:rPr>
          <w:sz w:val="24"/>
          <w:szCs w:val="24"/>
        </w:rPr>
        <w:t xml:space="preserve"> </w:t>
      </w:r>
      <w:r w:rsidR="00071B22" w:rsidRPr="00FC7501">
        <w:rPr>
          <w:sz w:val="24"/>
          <w:szCs w:val="24"/>
        </w:rPr>
        <w:t xml:space="preserve">Positive: </w:t>
      </w:r>
      <w:r w:rsidRPr="00FC7501">
        <w:rPr>
          <w:sz w:val="24"/>
          <w:szCs w:val="24"/>
        </w:rPr>
        <w:t>This is a lower percentage</w:t>
      </w:r>
      <w:r w:rsidR="00071B22" w:rsidRPr="00FC7501">
        <w:rPr>
          <w:sz w:val="24"/>
          <w:szCs w:val="24"/>
        </w:rPr>
        <w:t xml:space="preserve"> of students with D/F/W than previous semester(s)</w:t>
      </w:r>
    </w:p>
    <w:p w14:paraId="7DBF7431" w14:textId="67DF9A4E" w:rsidR="00071B22" w:rsidRPr="00FC7501" w:rsidRDefault="00071B22" w:rsidP="003F4D85">
      <w:pPr>
        <w:pStyle w:val="ListParagraph"/>
        <w:numPr>
          <w:ilvl w:val="0"/>
          <w:numId w:val="15"/>
        </w:numPr>
        <w:ind w:left="1800"/>
        <w:rPr>
          <w:sz w:val="24"/>
          <w:szCs w:val="24"/>
        </w:rPr>
      </w:pPr>
      <w:r w:rsidRPr="00FC7501">
        <w:rPr>
          <w:sz w:val="24"/>
          <w:szCs w:val="24"/>
        </w:rPr>
        <w:t xml:space="preserve">___ Neutral: </w:t>
      </w:r>
      <w:r w:rsidR="001E0EE3" w:rsidRPr="00FC7501">
        <w:rPr>
          <w:sz w:val="24"/>
          <w:szCs w:val="24"/>
        </w:rPr>
        <w:t>This is the s</w:t>
      </w:r>
      <w:r w:rsidRPr="00FC7501">
        <w:rPr>
          <w:sz w:val="24"/>
          <w:szCs w:val="24"/>
        </w:rPr>
        <w:t xml:space="preserve">ame </w:t>
      </w:r>
      <w:r w:rsidR="001E0EE3" w:rsidRPr="00FC7501">
        <w:rPr>
          <w:sz w:val="24"/>
          <w:szCs w:val="24"/>
        </w:rPr>
        <w:t>percentage</w:t>
      </w:r>
      <w:r w:rsidRPr="00FC7501">
        <w:rPr>
          <w:sz w:val="24"/>
          <w:szCs w:val="24"/>
        </w:rPr>
        <w:t xml:space="preserve"> of students with D/F/W than previous semester(s)</w:t>
      </w:r>
    </w:p>
    <w:p w14:paraId="6B76307D" w14:textId="214C7F0A" w:rsidR="00C45872" w:rsidRPr="00FC7501" w:rsidRDefault="00071B22" w:rsidP="003F4D85">
      <w:pPr>
        <w:pStyle w:val="ListParagraph"/>
        <w:numPr>
          <w:ilvl w:val="0"/>
          <w:numId w:val="15"/>
        </w:numPr>
        <w:ind w:left="1800"/>
        <w:rPr>
          <w:b/>
          <w:sz w:val="24"/>
          <w:szCs w:val="24"/>
        </w:rPr>
      </w:pPr>
      <w:r w:rsidRPr="00FC7501">
        <w:rPr>
          <w:sz w:val="24"/>
          <w:szCs w:val="24"/>
        </w:rPr>
        <w:t>_</w:t>
      </w:r>
      <w:r w:rsidR="00FC7501" w:rsidRPr="00FC7501">
        <w:rPr>
          <w:sz w:val="24"/>
          <w:szCs w:val="24"/>
        </w:rPr>
        <w:t>x</w:t>
      </w:r>
      <w:r w:rsidRPr="00FC7501">
        <w:rPr>
          <w:sz w:val="24"/>
          <w:szCs w:val="24"/>
        </w:rPr>
        <w:t xml:space="preserve">__ Negative: </w:t>
      </w:r>
      <w:r w:rsidR="001E0EE3" w:rsidRPr="00FC7501">
        <w:rPr>
          <w:sz w:val="24"/>
          <w:szCs w:val="24"/>
        </w:rPr>
        <w:t>This is a hig</w:t>
      </w:r>
      <w:r w:rsidRPr="00FC7501">
        <w:rPr>
          <w:sz w:val="24"/>
          <w:szCs w:val="24"/>
        </w:rPr>
        <w:t xml:space="preserve">her </w:t>
      </w:r>
      <w:r w:rsidR="001E0EE3" w:rsidRPr="00FC7501">
        <w:rPr>
          <w:sz w:val="24"/>
          <w:szCs w:val="24"/>
        </w:rPr>
        <w:t>percentage</w:t>
      </w:r>
      <w:r w:rsidRPr="00FC7501">
        <w:rPr>
          <w:sz w:val="24"/>
          <w:szCs w:val="24"/>
        </w:rPr>
        <w:t xml:space="preserve"> of students with 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lastRenderedPageBreak/>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FC7501" w:rsidRDefault="00F70B70" w:rsidP="003F4D85">
      <w:pPr>
        <w:pStyle w:val="ListParagraph"/>
        <w:numPr>
          <w:ilvl w:val="1"/>
          <w:numId w:val="4"/>
        </w:numPr>
        <w:ind w:left="1800"/>
        <w:rPr>
          <w:b/>
          <w:sz w:val="24"/>
          <w:szCs w:val="24"/>
        </w:rPr>
      </w:pPr>
      <w:r w:rsidRPr="00FC7501">
        <w:rPr>
          <w:i/>
          <w:sz w:val="24"/>
          <w:szCs w:val="24"/>
        </w:rPr>
        <w:t>Average GPA</w:t>
      </w:r>
    </w:p>
    <w:p w14:paraId="3B48FE2A" w14:textId="7A4B52AB" w:rsidR="00101A24" w:rsidRPr="00FC7501" w:rsidRDefault="00101A24" w:rsidP="003F4D85">
      <w:pPr>
        <w:pStyle w:val="ListParagraph"/>
        <w:numPr>
          <w:ilvl w:val="1"/>
          <w:numId w:val="4"/>
        </w:numPr>
        <w:ind w:left="1800"/>
        <w:rPr>
          <w:b/>
          <w:sz w:val="24"/>
          <w:szCs w:val="24"/>
        </w:rPr>
      </w:pPr>
      <w:r w:rsidRPr="00FC7501">
        <w:rPr>
          <w:i/>
          <w:sz w:val="24"/>
          <w:szCs w:val="24"/>
        </w:rPr>
        <w:t>Pre-and post-transformation DFW comparison</w:t>
      </w:r>
    </w:p>
    <w:p w14:paraId="6CC8D945" w14:textId="77777777" w:rsidR="00F70B70" w:rsidRPr="00FC7501" w:rsidRDefault="00F70B70" w:rsidP="003F4D85">
      <w:pPr>
        <w:pStyle w:val="ListParagraph"/>
        <w:numPr>
          <w:ilvl w:val="1"/>
          <w:numId w:val="4"/>
        </w:numPr>
        <w:ind w:left="1800"/>
        <w:rPr>
          <w:b/>
          <w:sz w:val="24"/>
          <w:szCs w:val="24"/>
        </w:rPr>
      </w:pPr>
      <w:r w:rsidRPr="00FC7501">
        <w:rPr>
          <w:i/>
          <w:sz w:val="24"/>
          <w:szCs w:val="24"/>
        </w:rPr>
        <w:t>Student success in learning objectives</w:t>
      </w:r>
    </w:p>
    <w:p w14:paraId="34DD2962" w14:textId="77777777" w:rsidR="0073273B" w:rsidRPr="00FC7501" w:rsidRDefault="00F70B70" w:rsidP="003F4D85">
      <w:pPr>
        <w:pStyle w:val="ListParagraph"/>
        <w:numPr>
          <w:ilvl w:val="1"/>
          <w:numId w:val="4"/>
        </w:numPr>
        <w:ind w:left="1800"/>
        <w:rPr>
          <w:b/>
          <w:sz w:val="24"/>
          <w:szCs w:val="24"/>
        </w:rPr>
      </w:pPr>
      <w:r w:rsidRPr="00FC7501">
        <w:rPr>
          <w:i/>
          <w:sz w:val="24"/>
          <w:szCs w:val="24"/>
        </w:rPr>
        <w:t>Surveys, interviews, and other qualitative measures</w:t>
      </w:r>
      <w:r w:rsidR="0073273B" w:rsidRPr="00FC7501">
        <w:rPr>
          <w:i/>
          <w:sz w:val="24"/>
          <w:szCs w:val="24"/>
        </w:rPr>
        <w:t xml:space="preserve"> </w:t>
      </w:r>
    </w:p>
    <w:p w14:paraId="016842DB" w14:textId="12BFE5B2" w:rsidR="0073273B" w:rsidRPr="00FC7501" w:rsidRDefault="0073273B" w:rsidP="003F4D85">
      <w:pPr>
        <w:pStyle w:val="ListParagraph"/>
        <w:numPr>
          <w:ilvl w:val="0"/>
          <w:numId w:val="4"/>
        </w:numPr>
        <w:ind w:left="1440"/>
        <w:rPr>
          <w:b/>
          <w:sz w:val="24"/>
          <w:szCs w:val="24"/>
        </w:rPr>
      </w:pPr>
      <w:r w:rsidRPr="00FC7501">
        <w:rPr>
          <w:i/>
          <w:sz w:val="24"/>
          <w:szCs w:val="24"/>
        </w:rPr>
        <w:t>Indicate any co-factors that might have influenced the outcomes</w:t>
      </w:r>
      <w:r w:rsidR="00630263" w:rsidRPr="00FC7501">
        <w:rPr>
          <w:i/>
          <w:sz w:val="24"/>
          <w:szCs w:val="24"/>
        </w:rPr>
        <w:t>.</w:t>
      </w:r>
      <w:r w:rsidRPr="00FC7501">
        <w:rPr>
          <w:i/>
          <w:sz w:val="24"/>
          <w:szCs w:val="24"/>
        </w:rPr>
        <w:t xml:space="preserve">  </w:t>
      </w:r>
    </w:p>
    <w:p w14:paraId="66DB9F86" w14:textId="0475926C" w:rsidR="00C55E38" w:rsidRDefault="00C55E38" w:rsidP="00C55E38">
      <w:pPr>
        <w:rPr>
          <w:b/>
          <w:sz w:val="24"/>
          <w:szCs w:val="24"/>
        </w:rPr>
      </w:pPr>
    </w:p>
    <w:p w14:paraId="2D7EF10F" w14:textId="12BB8D68" w:rsidR="00C55E38" w:rsidRDefault="00C55E38" w:rsidP="00C55E38">
      <w:pPr>
        <w:rPr>
          <w:sz w:val="24"/>
          <w:szCs w:val="24"/>
        </w:rPr>
      </w:pPr>
      <w:r w:rsidRPr="00C55E38">
        <w:rPr>
          <w:sz w:val="24"/>
          <w:szCs w:val="24"/>
        </w:rPr>
        <w:t xml:space="preserve">Student attitudes upon implementation of </w:t>
      </w:r>
      <w:r>
        <w:rPr>
          <w:sz w:val="24"/>
          <w:szCs w:val="24"/>
        </w:rPr>
        <w:t xml:space="preserve">OER in BIOL 3400K. Surveys were administered during spring, summer, and fall 2020 to assess student attitudes towards OER vs the traditional textbook. Student responses were based on a </w:t>
      </w:r>
      <w:r w:rsidR="00206262">
        <w:rPr>
          <w:sz w:val="24"/>
          <w:szCs w:val="24"/>
        </w:rPr>
        <w:t xml:space="preserve">Likert </w:t>
      </w:r>
      <w:r>
        <w:rPr>
          <w:sz w:val="24"/>
          <w:szCs w:val="24"/>
        </w:rPr>
        <w:t xml:space="preserve">scale including the options a) strongly agree, b) agree, c) disagree, and d) strongly disagree. </w:t>
      </w:r>
      <w:r w:rsidR="00953B74">
        <w:rPr>
          <w:sz w:val="24"/>
          <w:szCs w:val="24"/>
        </w:rPr>
        <w:t>We received 174 responses in total that were analyzed using</w:t>
      </w:r>
      <w:r>
        <w:rPr>
          <w:sz w:val="24"/>
          <w:szCs w:val="24"/>
        </w:rPr>
        <w:t xml:space="preserve"> a 2x2 table of those students who have access to the OER vs the traditional and positive (strongly agree or agree) vs negative responses (disagree or strongly disagree) to determine statistical significance.  Below is a table </w:t>
      </w:r>
      <w:r w:rsidR="00F521FF">
        <w:rPr>
          <w:sz w:val="24"/>
          <w:szCs w:val="24"/>
        </w:rPr>
        <w:t xml:space="preserve">(Table 1) </w:t>
      </w:r>
      <w:r>
        <w:rPr>
          <w:sz w:val="24"/>
          <w:szCs w:val="24"/>
        </w:rPr>
        <w:t>summarizing the question</w:t>
      </w:r>
      <w:r w:rsidR="00606D4E">
        <w:rPr>
          <w:sz w:val="24"/>
          <w:szCs w:val="24"/>
        </w:rPr>
        <w:t>s</w:t>
      </w:r>
      <w:r w:rsidR="00206262">
        <w:rPr>
          <w:sz w:val="24"/>
          <w:szCs w:val="24"/>
        </w:rPr>
        <w:t xml:space="preserve"> and</w:t>
      </w:r>
      <w:r w:rsidR="00606D4E">
        <w:rPr>
          <w:sz w:val="24"/>
          <w:szCs w:val="24"/>
        </w:rPr>
        <w:t xml:space="preserve"> responses</w:t>
      </w:r>
      <w:r w:rsidR="00206262">
        <w:rPr>
          <w:sz w:val="24"/>
          <w:szCs w:val="24"/>
        </w:rPr>
        <w:t>, as well as the conclusions and the data (% positive and negative responses),</w:t>
      </w:r>
      <w:r w:rsidR="001E01BE">
        <w:rPr>
          <w:sz w:val="24"/>
          <w:szCs w:val="24"/>
        </w:rPr>
        <w:t xml:space="preserve"> </w:t>
      </w:r>
      <w:r w:rsidR="00606D4E">
        <w:rPr>
          <w:sz w:val="24"/>
          <w:szCs w:val="24"/>
        </w:rPr>
        <w:t xml:space="preserve">is included in an attached </w:t>
      </w:r>
      <w:r w:rsidR="00206262">
        <w:rPr>
          <w:sz w:val="24"/>
          <w:szCs w:val="24"/>
        </w:rPr>
        <w:t xml:space="preserve">PowerPoint </w:t>
      </w:r>
      <w:r w:rsidR="00606D4E">
        <w:rPr>
          <w:sz w:val="24"/>
          <w:szCs w:val="24"/>
        </w:rPr>
        <w:t>file.</w:t>
      </w:r>
    </w:p>
    <w:p w14:paraId="20C210E1" w14:textId="500E3C56" w:rsidR="00FC7501" w:rsidRDefault="00FC7501" w:rsidP="00C55E38">
      <w:pPr>
        <w:rPr>
          <w:sz w:val="24"/>
          <w:szCs w:val="24"/>
        </w:rPr>
      </w:pPr>
    </w:p>
    <w:p w14:paraId="4D2D9CB6" w14:textId="69E1DA6A" w:rsidR="00FC7501" w:rsidRDefault="00FC7501" w:rsidP="00C55E38">
      <w:pPr>
        <w:rPr>
          <w:sz w:val="24"/>
          <w:szCs w:val="24"/>
        </w:rPr>
      </w:pPr>
    </w:p>
    <w:p w14:paraId="18850EB8" w14:textId="43926623" w:rsidR="00FC7501" w:rsidRDefault="00FC7501" w:rsidP="00C55E38">
      <w:pPr>
        <w:rPr>
          <w:sz w:val="24"/>
          <w:szCs w:val="24"/>
        </w:rPr>
      </w:pPr>
    </w:p>
    <w:p w14:paraId="62651684" w14:textId="77777777" w:rsidR="00FC7501" w:rsidRDefault="00FC7501" w:rsidP="00C55E38">
      <w:pPr>
        <w:rPr>
          <w:sz w:val="24"/>
          <w:szCs w:val="24"/>
        </w:rPr>
      </w:pPr>
    </w:p>
    <w:tbl>
      <w:tblPr>
        <w:tblpPr w:leftFromText="180" w:rightFromText="180" w:vertAnchor="text" w:horzAnchor="margin" w:tblpY="-733"/>
        <w:tblW w:w="9180" w:type="dxa"/>
        <w:tblCellMar>
          <w:left w:w="0" w:type="dxa"/>
          <w:right w:w="0" w:type="dxa"/>
        </w:tblCellMar>
        <w:tblLook w:val="0420" w:firstRow="1" w:lastRow="0" w:firstColumn="0" w:lastColumn="0" w:noHBand="0" w:noVBand="1"/>
      </w:tblPr>
      <w:tblGrid>
        <w:gridCol w:w="3402"/>
        <w:gridCol w:w="1049"/>
        <w:gridCol w:w="4729"/>
      </w:tblGrid>
      <w:tr w:rsidR="001609C9" w:rsidRPr="001E01BE" w14:paraId="16BA76CF" w14:textId="77777777" w:rsidTr="008700F7">
        <w:trPr>
          <w:trHeight w:val="295"/>
        </w:trPr>
        <w:tc>
          <w:tcPr>
            <w:tcW w:w="3402"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50717056" w14:textId="77777777" w:rsidR="001609C9" w:rsidRPr="001E01BE" w:rsidRDefault="001609C9" w:rsidP="008700F7">
            <w:pPr>
              <w:spacing w:after="0" w:line="240" w:lineRule="auto"/>
              <w:rPr>
                <w:rFonts w:ascii="Arial" w:eastAsia="Times New Roman" w:hAnsi="Arial" w:cs="Arial"/>
                <w:szCs w:val="36"/>
              </w:rPr>
            </w:pPr>
            <w:r>
              <w:rPr>
                <w:rFonts w:ascii="Calibri" w:eastAsia="Times New Roman" w:hAnsi="Calibri" w:cs="Calibri"/>
                <w:b/>
                <w:bCs/>
                <w:color w:val="FFFFFF" w:themeColor="light1"/>
                <w:kern w:val="24"/>
                <w:szCs w:val="32"/>
              </w:rPr>
              <w:lastRenderedPageBreak/>
              <w:t xml:space="preserve">Survey </w:t>
            </w:r>
            <w:r w:rsidRPr="001E01BE">
              <w:rPr>
                <w:rFonts w:ascii="Calibri" w:eastAsia="Times New Roman" w:hAnsi="Calibri" w:cs="Calibri"/>
                <w:b/>
                <w:bCs/>
                <w:color w:val="FFFFFF" w:themeColor="light1"/>
                <w:kern w:val="24"/>
                <w:szCs w:val="32"/>
              </w:rPr>
              <w:t>Question</w:t>
            </w:r>
          </w:p>
        </w:tc>
        <w:tc>
          <w:tcPr>
            <w:tcW w:w="1049"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2AEF7B2B"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b/>
                <w:bCs/>
                <w:color w:val="FFFFFF" w:themeColor="light1"/>
                <w:kern w:val="24"/>
                <w:szCs w:val="32"/>
              </w:rPr>
              <w:t>P-value</w:t>
            </w:r>
          </w:p>
        </w:tc>
        <w:tc>
          <w:tcPr>
            <w:tcW w:w="4729"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14:paraId="4054F7FD"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b/>
                <w:bCs/>
                <w:color w:val="FFFFFF" w:themeColor="light1"/>
                <w:kern w:val="24"/>
                <w:szCs w:val="32"/>
              </w:rPr>
              <w:t>Conclusion</w:t>
            </w:r>
          </w:p>
        </w:tc>
      </w:tr>
      <w:tr w:rsidR="001609C9" w:rsidRPr="001E01BE" w14:paraId="30FBDC56" w14:textId="77777777" w:rsidTr="008700F7">
        <w:trPr>
          <w:trHeight w:val="1392"/>
        </w:trPr>
        <w:tc>
          <w:tcPr>
            <w:tcW w:w="3402"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0A6CAB22" w14:textId="6DF15740"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 xml:space="preserve">I am satisfied with current method of access to course textbook </w:t>
            </w:r>
          </w:p>
        </w:tc>
        <w:tc>
          <w:tcPr>
            <w:tcW w:w="1049"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05EDF938"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P&lt;0.001</w:t>
            </w:r>
          </w:p>
        </w:tc>
        <w:tc>
          <w:tcPr>
            <w:tcW w:w="4729"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157E7FDC" w14:textId="2BEEC375"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Students with access to OER were more satisfied with the method of access to their textbook than those with a traditional textbook</w:t>
            </w:r>
          </w:p>
        </w:tc>
      </w:tr>
      <w:tr w:rsidR="001609C9" w:rsidRPr="001E01BE" w14:paraId="4E8F549B" w14:textId="77777777" w:rsidTr="008700F7">
        <w:trPr>
          <w:trHeight w:val="866"/>
        </w:trPr>
        <w:tc>
          <w:tcPr>
            <w:tcW w:w="3402"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494098AC"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 xml:space="preserve">I am satisfied with the current textbook costs associated with the course </w:t>
            </w:r>
          </w:p>
        </w:tc>
        <w:tc>
          <w:tcPr>
            <w:tcW w:w="1049"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4E2DD89F" w14:textId="63F118DD"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P&lt;0.001</w:t>
            </w:r>
          </w:p>
        </w:tc>
        <w:tc>
          <w:tcPr>
            <w:tcW w:w="4729"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4FDC394E" w14:textId="1AAB8259"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Students with access to OER were more satisfied the cost of their textbook than those with a traditional textbook</w:t>
            </w:r>
          </w:p>
        </w:tc>
      </w:tr>
      <w:tr w:rsidR="001609C9" w:rsidRPr="001E01BE" w14:paraId="018578EB" w14:textId="77777777" w:rsidTr="008700F7">
        <w:trPr>
          <w:trHeight w:val="866"/>
        </w:trPr>
        <w:tc>
          <w:tcPr>
            <w:tcW w:w="3402"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6BAD8E08" w14:textId="025D1CA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I am more likely to rely on the internet to answer questions related to class content</w:t>
            </w:r>
          </w:p>
        </w:tc>
        <w:tc>
          <w:tcPr>
            <w:tcW w:w="1049"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7C2EACEF" w14:textId="13A1E044"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P&lt;0.001</w:t>
            </w:r>
          </w:p>
        </w:tc>
        <w:tc>
          <w:tcPr>
            <w:tcW w:w="4729"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25AD398C" w14:textId="7E2E402E"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Students with access to OER were less likely to rely on the internet to answer questions than those with a traditional textbook</w:t>
            </w:r>
          </w:p>
        </w:tc>
      </w:tr>
      <w:tr w:rsidR="001609C9" w:rsidRPr="001E01BE" w14:paraId="25A1D823" w14:textId="77777777" w:rsidTr="008700F7">
        <w:trPr>
          <w:trHeight w:val="866"/>
        </w:trPr>
        <w:tc>
          <w:tcPr>
            <w:tcW w:w="3402"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787C86AA" w14:textId="72CB665A"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 xml:space="preserve">Having a free (no-cost) BIOL3400K textbook increased my ability to succeed in this course. </w:t>
            </w:r>
          </w:p>
        </w:tc>
        <w:tc>
          <w:tcPr>
            <w:tcW w:w="1049"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5C4729E8" w14:textId="5532D399" w:rsidR="001609C9" w:rsidRPr="001E01BE" w:rsidRDefault="001609C9" w:rsidP="008700F7">
            <w:pPr>
              <w:spacing w:after="0" w:line="240" w:lineRule="auto"/>
              <w:rPr>
                <w:rFonts w:ascii="Arial" w:eastAsia="Times New Roman" w:hAnsi="Arial" w:cs="Arial"/>
                <w:szCs w:val="36"/>
              </w:rPr>
            </w:pPr>
          </w:p>
        </w:tc>
        <w:tc>
          <w:tcPr>
            <w:tcW w:w="4729"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311FA24B" w14:textId="6427A84B"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89% of students with access to OER responded positively to this question</w:t>
            </w:r>
          </w:p>
        </w:tc>
      </w:tr>
      <w:tr w:rsidR="001609C9" w:rsidRPr="001E01BE" w14:paraId="2011D5C9" w14:textId="77777777" w:rsidTr="008700F7">
        <w:trPr>
          <w:trHeight w:val="866"/>
        </w:trPr>
        <w:tc>
          <w:tcPr>
            <w:tcW w:w="3402"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4CED75BB"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 xml:space="preserve">The textbook aligned with the learning outcomes for the course. </w:t>
            </w:r>
          </w:p>
        </w:tc>
        <w:tc>
          <w:tcPr>
            <w:tcW w:w="1049"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4CCA578E"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P&lt;0.05</w:t>
            </w:r>
          </w:p>
        </w:tc>
        <w:tc>
          <w:tcPr>
            <w:tcW w:w="4729"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098DCD83" w14:textId="67EA84D2"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Students with access to OER responded that the textbook aligned with the learning outcome</w:t>
            </w:r>
            <w:r>
              <w:rPr>
                <w:rFonts w:ascii="Calibri" w:eastAsia="Times New Roman" w:hAnsi="Calibri" w:cs="Calibri"/>
                <w:color w:val="000000" w:themeColor="dark1"/>
                <w:kern w:val="24"/>
                <w:szCs w:val="32"/>
              </w:rPr>
              <w:t>s for the course as compared to</w:t>
            </w:r>
            <w:r w:rsidRPr="001E01BE">
              <w:rPr>
                <w:rFonts w:ascii="Calibri" w:eastAsia="Times New Roman" w:hAnsi="Calibri" w:cs="Calibri"/>
                <w:color w:val="000000" w:themeColor="dark1"/>
                <w:kern w:val="24"/>
                <w:szCs w:val="32"/>
              </w:rPr>
              <w:t xml:space="preserve"> those with a traditional textbook.</w:t>
            </w:r>
          </w:p>
        </w:tc>
      </w:tr>
      <w:tr w:rsidR="001609C9" w:rsidRPr="001E01BE" w14:paraId="061D0896" w14:textId="77777777" w:rsidTr="008700F7">
        <w:trPr>
          <w:trHeight w:val="866"/>
        </w:trPr>
        <w:tc>
          <w:tcPr>
            <w:tcW w:w="3402"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67434686"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 xml:space="preserve">The textbook helps </w:t>
            </w:r>
            <w:proofErr w:type="gramStart"/>
            <w:r w:rsidRPr="001E01BE">
              <w:rPr>
                <w:rFonts w:ascii="Calibri" w:eastAsia="Times New Roman" w:hAnsi="Calibri" w:cs="Calibri"/>
                <w:color w:val="000000" w:themeColor="dark1"/>
                <w:kern w:val="24"/>
                <w:szCs w:val="32"/>
              </w:rPr>
              <w:t>me</w:t>
            </w:r>
            <w:proofErr w:type="gramEnd"/>
            <w:r w:rsidRPr="001E01BE">
              <w:rPr>
                <w:rFonts w:ascii="Calibri" w:eastAsia="Times New Roman" w:hAnsi="Calibri" w:cs="Calibri"/>
                <w:color w:val="000000" w:themeColor="dark1"/>
                <w:kern w:val="24"/>
                <w:szCs w:val="32"/>
              </w:rPr>
              <w:t xml:space="preserve"> to understand the content taught in the course.</w:t>
            </w:r>
          </w:p>
        </w:tc>
        <w:tc>
          <w:tcPr>
            <w:tcW w:w="1049"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1AF57FF6"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P&lt;0.01</w:t>
            </w:r>
          </w:p>
        </w:tc>
        <w:tc>
          <w:tcPr>
            <w:tcW w:w="4729"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573ACED1"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Students with access to OER felt that the textbook helped them understand course content to a greater extent than those with access to a traditional textbook.</w:t>
            </w:r>
          </w:p>
        </w:tc>
      </w:tr>
      <w:tr w:rsidR="001609C9" w:rsidRPr="001E01BE" w14:paraId="1F652A4B" w14:textId="77777777" w:rsidTr="008700F7">
        <w:trPr>
          <w:trHeight w:val="866"/>
        </w:trPr>
        <w:tc>
          <w:tcPr>
            <w:tcW w:w="3402"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22DF221C"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The textbook was easy to read.</w:t>
            </w:r>
          </w:p>
        </w:tc>
        <w:tc>
          <w:tcPr>
            <w:tcW w:w="1049"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652C47D0"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P&lt;0.05</w:t>
            </w:r>
          </w:p>
        </w:tc>
        <w:tc>
          <w:tcPr>
            <w:tcW w:w="4729"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14:paraId="6ECBE6E1"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 xml:space="preserve">Students with access to OER felt that the textbook was </w:t>
            </w:r>
            <w:r>
              <w:rPr>
                <w:rFonts w:ascii="Calibri" w:eastAsia="Times New Roman" w:hAnsi="Calibri" w:cs="Calibri"/>
                <w:color w:val="000000" w:themeColor="dark1"/>
                <w:kern w:val="24"/>
                <w:szCs w:val="32"/>
              </w:rPr>
              <w:t>easy to read to a greater extent</w:t>
            </w:r>
            <w:r w:rsidRPr="001E01BE">
              <w:rPr>
                <w:rFonts w:ascii="Calibri" w:eastAsia="Times New Roman" w:hAnsi="Calibri" w:cs="Calibri"/>
                <w:color w:val="000000" w:themeColor="dark1"/>
                <w:kern w:val="24"/>
                <w:szCs w:val="32"/>
              </w:rPr>
              <w:t xml:space="preserve"> than those with access to a traditional textbook.</w:t>
            </w:r>
          </w:p>
        </w:tc>
      </w:tr>
      <w:tr w:rsidR="001609C9" w:rsidRPr="001E01BE" w14:paraId="488890B3" w14:textId="77777777" w:rsidTr="008700F7">
        <w:trPr>
          <w:trHeight w:val="866"/>
        </w:trPr>
        <w:tc>
          <w:tcPr>
            <w:tcW w:w="3402"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07145019"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I used the textbook to help me to study for the course.</w:t>
            </w:r>
          </w:p>
        </w:tc>
        <w:tc>
          <w:tcPr>
            <w:tcW w:w="1049"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3151822F"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P&lt;0.001</w:t>
            </w:r>
          </w:p>
        </w:tc>
        <w:tc>
          <w:tcPr>
            <w:tcW w:w="4729"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14:paraId="1EFC1A45" w14:textId="77777777" w:rsidR="001609C9" w:rsidRPr="001E01BE" w:rsidRDefault="001609C9" w:rsidP="008700F7">
            <w:pPr>
              <w:spacing w:after="0" w:line="240" w:lineRule="auto"/>
              <w:rPr>
                <w:rFonts w:ascii="Arial" w:eastAsia="Times New Roman" w:hAnsi="Arial" w:cs="Arial"/>
                <w:szCs w:val="36"/>
              </w:rPr>
            </w:pPr>
            <w:r w:rsidRPr="001E01BE">
              <w:rPr>
                <w:rFonts w:ascii="Calibri" w:eastAsia="Times New Roman" w:hAnsi="Calibri" w:cs="Calibri"/>
                <w:color w:val="000000" w:themeColor="dark1"/>
                <w:kern w:val="24"/>
                <w:szCs w:val="32"/>
              </w:rPr>
              <w:t>Students with access to OER used the textbook to study for the course to a greater extent than those with access to a traditional textbook.</w:t>
            </w:r>
          </w:p>
        </w:tc>
      </w:tr>
    </w:tbl>
    <w:p w14:paraId="1969C94D" w14:textId="33853CAB" w:rsidR="00F521FF" w:rsidRPr="007714D5" w:rsidRDefault="0002572D" w:rsidP="00F521FF">
      <w:pPr>
        <w:rPr>
          <w:sz w:val="20"/>
          <w:szCs w:val="20"/>
        </w:rPr>
      </w:pPr>
      <w:r>
        <w:rPr>
          <w:rStyle w:val="Strong"/>
        </w:rPr>
        <w:t>Table 1</w:t>
      </w:r>
      <w:r w:rsidR="00F521FF" w:rsidRPr="007714D5">
        <w:rPr>
          <w:rStyle w:val="Strong"/>
        </w:rPr>
        <w:t>. OER student survey responses.</w:t>
      </w:r>
      <w:r w:rsidR="00F521FF">
        <w:rPr>
          <w:sz w:val="20"/>
          <w:szCs w:val="20"/>
        </w:rPr>
        <w:t xml:space="preserve"> The first column represents the survey question asked, the middle column represents the statistical difference between the spring 2020 semester (before implementation) and summer and fall 2020 semesters (after implementation). The third column is the overall finding upon comparison of the before and after implementation.</w:t>
      </w:r>
    </w:p>
    <w:p w14:paraId="72E851E9" w14:textId="402EA8C8" w:rsidR="001E01BE" w:rsidRDefault="001E01BE" w:rsidP="00C55E38">
      <w:pPr>
        <w:rPr>
          <w:sz w:val="24"/>
          <w:szCs w:val="24"/>
        </w:rPr>
      </w:pPr>
    </w:p>
    <w:p w14:paraId="51422F38" w14:textId="7C675A48" w:rsidR="0002572D" w:rsidRDefault="00FC7501" w:rsidP="0002572D">
      <w:pPr>
        <w:rPr>
          <w:sz w:val="24"/>
          <w:szCs w:val="24"/>
        </w:rPr>
      </w:pPr>
      <w:r w:rsidRPr="00FC7501">
        <w:rPr>
          <w:sz w:val="24"/>
          <w:szCs w:val="24"/>
        </w:rPr>
        <w:t>Below is a breakdown of grade distributions for students using traditional textbooks during the spring 2020 semester (n=118) and the BIOL 3400K OER during the summer and fall 2020 semesters (n=162</w:t>
      </w:r>
      <w:bookmarkStart w:id="0" w:name="_GoBack"/>
      <w:r w:rsidRPr="00FC7501">
        <w:rPr>
          <w:sz w:val="24"/>
          <w:szCs w:val="24"/>
        </w:rPr>
        <w:t>)</w:t>
      </w:r>
      <w:r w:rsidR="0002572D">
        <w:rPr>
          <w:sz w:val="24"/>
          <w:szCs w:val="24"/>
        </w:rPr>
        <w:t xml:space="preserve"> (Fig 1)</w:t>
      </w:r>
      <w:r w:rsidRPr="00FC7501">
        <w:rPr>
          <w:sz w:val="24"/>
          <w:szCs w:val="24"/>
        </w:rPr>
        <w:t xml:space="preserve">. </w:t>
      </w:r>
      <w:bookmarkEnd w:id="0"/>
      <w:r w:rsidRPr="00FC7501">
        <w:rPr>
          <w:sz w:val="24"/>
          <w:szCs w:val="24"/>
        </w:rPr>
        <w:t>The DFW rate increased upon adoption of OER</w:t>
      </w:r>
      <w:r w:rsidR="00292255">
        <w:rPr>
          <w:sz w:val="24"/>
          <w:szCs w:val="24"/>
        </w:rPr>
        <w:t>.</w:t>
      </w:r>
      <w:r w:rsidR="0002572D">
        <w:rPr>
          <w:sz w:val="24"/>
          <w:szCs w:val="24"/>
        </w:rPr>
        <w:t xml:space="preserve"> This </w:t>
      </w:r>
      <w:r w:rsidR="0002572D">
        <w:rPr>
          <w:sz w:val="24"/>
          <w:szCs w:val="24"/>
        </w:rPr>
        <w:t>was not completely unexpected given</w:t>
      </w:r>
      <w:r w:rsidR="0002572D" w:rsidRPr="00FC7501">
        <w:rPr>
          <w:sz w:val="24"/>
          <w:szCs w:val="24"/>
        </w:rPr>
        <w:t xml:space="preserve"> </w:t>
      </w:r>
      <w:r w:rsidR="0002572D">
        <w:rPr>
          <w:sz w:val="24"/>
          <w:szCs w:val="24"/>
        </w:rPr>
        <w:t xml:space="preserve">the significant change in teaching modality, the switch to online teaching at the end of the spring 2020 semester, and online and/or hybrid sections during the summer and fall of 2020 due to the COVID-19 pandemic. The faculty involved in teaching these sections feel strongly that DFW rates and student success in BIOL 3400K were adversely </w:t>
      </w:r>
      <w:r w:rsidR="0002572D">
        <w:rPr>
          <w:sz w:val="24"/>
          <w:szCs w:val="24"/>
        </w:rPr>
        <w:lastRenderedPageBreak/>
        <w:t>affected due to various influences such as the teaching modality, financial, work, and mental stressors due to the pandemic and are not representative of the likely positive impact of the OER</w:t>
      </w:r>
      <w:r w:rsidR="0002572D">
        <w:rPr>
          <w:sz w:val="24"/>
          <w:szCs w:val="24"/>
        </w:rPr>
        <w:t>.</w:t>
      </w:r>
    </w:p>
    <w:p w14:paraId="0A35D24E" w14:textId="5AF5D9C6" w:rsidR="00FC7501" w:rsidRDefault="00FC7501" w:rsidP="0002572D">
      <w:r w:rsidRPr="00FC7501">
        <w:rPr>
          <w:noProof/>
          <w:color w:val="FF0000"/>
          <w:sz w:val="24"/>
          <w:szCs w:val="24"/>
        </w:rPr>
        <w:drawing>
          <wp:anchor distT="0" distB="0" distL="114300" distR="114300" simplePos="0" relativeHeight="251659264" behindDoc="0" locked="0" layoutInCell="1" allowOverlap="1" wp14:anchorId="24B06736" wp14:editId="6A4525DA">
            <wp:simplePos x="0" y="0"/>
            <wp:positionH relativeFrom="column">
              <wp:posOffset>742950</wp:posOffset>
            </wp:positionH>
            <wp:positionV relativeFrom="paragraph">
              <wp:posOffset>199390</wp:posOffset>
            </wp:positionV>
            <wp:extent cx="4629150" cy="2084705"/>
            <wp:effectExtent l="0" t="0" r="0" b="10795"/>
            <wp:wrapTopAndBottom/>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030B1373" w14:textId="5DF60F25" w:rsidR="00FC7501" w:rsidRDefault="0002572D" w:rsidP="00FC7501">
      <w:pPr>
        <w:pStyle w:val="Heading1"/>
        <w:ind w:left="360"/>
      </w:pPr>
      <w:r w:rsidRPr="007714D5">
        <w:rPr>
          <w:rStyle w:val="Strong"/>
          <w:rFonts w:asciiTheme="minorHAnsi" w:eastAsiaTheme="minorHAnsi" w:hAnsiTheme="minorHAnsi" w:cstheme="minorBidi"/>
          <w:color w:val="auto"/>
          <w:sz w:val="20"/>
          <w:szCs w:val="20"/>
        </w:rPr>
        <w:t>Figure 1. Grade distribution before (blue) and after (orange) implementation of the OER.</w:t>
      </w:r>
    </w:p>
    <w:p w14:paraId="2107F97D" w14:textId="4DD1C1F8" w:rsidR="00F70B70" w:rsidRPr="004F2656" w:rsidRDefault="00F70B70" w:rsidP="003F4D85">
      <w:pPr>
        <w:pStyle w:val="Heading1"/>
        <w:numPr>
          <w:ilvl w:val="0"/>
          <w:numId w:val="18"/>
        </w:numPr>
        <w:ind w:left="360"/>
      </w:pPr>
      <w:r w:rsidRPr="004F2656">
        <w:t>Sustainability Plan</w:t>
      </w:r>
    </w:p>
    <w:p w14:paraId="36C4BC5C" w14:textId="65876AFD"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00796EA8" w14:textId="5F88BB08" w:rsidR="00A922AF" w:rsidRPr="00A922AF" w:rsidRDefault="00A922AF" w:rsidP="00A922AF">
      <w:pPr>
        <w:ind w:left="360"/>
        <w:rPr>
          <w:sz w:val="24"/>
        </w:rPr>
      </w:pPr>
      <w:r w:rsidRPr="008766D0">
        <w:rPr>
          <w:sz w:val="24"/>
          <w:szCs w:val="24"/>
        </w:rPr>
        <w:t xml:space="preserve">All sections of BIOL 3400K </w:t>
      </w:r>
      <w:r>
        <w:rPr>
          <w:sz w:val="24"/>
          <w:szCs w:val="24"/>
        </w:rPr>
        <w:t xml:space="preserve">at GGC </w:t>
      </w:r>
      <w:r w:rsidRPr="008766D0">
        <w:rPr>
          <w:sz w:val="24"/>
          <w:szCs w:val="24"/>
        </w:rPr>
        <w:t xml:space="preserve">will </w:t>
      </w:r>
      <w:r w:rsidR="00206262">
        <w:rPr>
          <w:sz w:val="24"/>
          <w:szCs w:val="24"/>
        </w:rPr>
        <w:t xml:space="preserve">be </w:t>
      </w:r>
      <w:r w:rsidRPr="008766D0">
        <w:rPr>
          <w:sz w:val="24"/>
          <w:szCs w:val="24"/>
        </w:rPr>
        <w:t xml:space="preserve">using the OER for future semesters. </w:t>
      </w:r>
      <w:r w:rsidRPr="00A922AF">
        <w:rPr>
          <w:sz w:val="24"/>
        </w:rPr>
        <w:t xml:space="preserve">The team has discussed this project with and received the endorsement of the Biology faculty who teach Cell Biology as well as the Cell Biology course coordinators who organize the course and adopt the textbook. This endorsement will ensure that the project is sustained and the newly transformed textbook will be institutionalized after funding is over. After </w:t>
      </w:r>
      <w:r w:rsidR="00292255">
        <w:rPr>
          <w:sz w:val="24"/>
        </w:rPr>
        <w:t>implementing</w:t>
      </w:r>
      <w:r w:rsidRPr="00A922AF">
        <w:rPr>
          <w:sz w:val="24"/>
        </w:rPr>
        <w:t xml:space="preserve"> the OER, the team members will meet each semester to discuss the textbook and decide if any updates need to be made to existing materials.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7CE272E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0D3AEE1C" w14:textId="688F88FE" w:rsidR="008766D0" w:rsidRDefault="008766D0" w:rsidP="003F4D85">
      <w:pPr>
        <w:ind w:left="360"/>
        <w:rPr>
          <w:sz w:val="24"/>
          <w:szCs w:val="24"/>
        </w:rPr>
      </w:pPr>
      <w:r>
        <w:rPr>
          <w:sz w:val="24"/>
          <w:szCs w:val="24"/>
        </w:rPr>
        <w:t>Exposure to this process has provided the knowledge on where and how to access OER materials, allowing us to look at these repositories first when selecting textbooks and learning materials for future courses.</w:t>
      </w:r>
    </w:p>
    <w:p w14:paraId="165F8D6C" w14:textId="0CEC47BC" w:rsidR="008766D0" w:rsidRPr="008766D0" w:rsidRDefault="008766D0" w:rsidP="003F4D85">
      <w:pPr>
        <w:ind w:left="360"/>
        <w:rPr>
          <w:b/>
          <w:sz w:val="24"/>
          <w:szCs w:val="24"/>
        </w:rPr>
      </w:pPr>
      <w:r w:rsidRPr="008766D0">
        <w:rPr>
          <w:sz w:val="24"/>
          <w:szCs w:val="24"/>
        </w:rPr>
        <w:t xml:space="preserve">Implementation of the OER in BIOL 3400K showed the team members how transformation can be achieved. We have shared this with colleagues and hope to encourage </w:t>
      </w:r>
      <w:r w:rsidR="00206262">
        <w:rPr>
          <w:sz w:val="24"/>
          <w:szCs w:val="24"/>
        </w:rPr>
        <w:t xml:space="preserve">the </w:t>
      </w:r>
      <w:r w:rsidRPr="008766D0">
        <w:rPr>
          <w:sz w:val="24"/>
          <w:szCs w:val="24"/>
        </w:rPr>
        <w:t>implementation of OER in other courses within the Biology discipline at GGC.</w:t>
      </w:r>
      <w:r>
        <w:rPr>
          <w:sz w:val="24"/>
          <w:szCs w:val="24"/>
        </w:rPr>
        <w:t xml:space="preserve"> </w:t>
      </w:r>
    </w:p>
    <w:p w14:paraId="68427203" w14:textId="3170B244" w:rsidR="00871BC4" w:rsidRPr="00220876" w:rsidRDefault="00190A51" w:rsidP="003F4D85">
      <w:pPr>
        <w:pStyle w:val="Heading1"/>
        <w:numPr>
          <w:ilvl w:val="0"/>
          <w:numId w:val="18"/>
        </w:numPr>
        <w:ind w:left="360"/>
      </w:pPr>
      <w:r w:rsidRPr="00220876">
        <w:lastRenderedPageBreak/>
        <w:t xml:space="preserve">Future </w:t>
      </w:r>
      <w:r w:rsidR="00220876" w:rsidRPr="00220876">
        <w:t>Scholarship Plans</w:t>
      </w:r>
    </w:p>
    <w:p w14:paraId="09109D3C" w14:textId="177320F9" w:rsidR="00B90CC8" w:rsidRPr="003F4D85" w:rsidRDefault="00EE7C7E" w:rsidP="003F4D85">
      <w:pPr>
        <w:ind w:left="360"/>
        <w:rPr>
          <w:b/>
          <w:sz w:val="24"/>
          <w:szCs w:val="24"/>
        </w:rPr>
      </w:pPr>
      <w:r w:rsidRPr="003F4D85">
        <w:rPr>
          <w:i/>
          <w:sz w:val="24"/>
          <w:szCs w:val="24"/>
        </w:rPr>
        <w:t>Describe any planned or actual papers, presentations, publications, or other professional activities that you expect to produce that reflect your work on this project.</w:t>
      </w:r>
    </w:p>
    <w:p w14:paraId="49D26D57" w14:textId="1277F8DC" w:rsidR="00CB083C" w:rsidRDefault="00576441" w:rsidP="003F4D85">
      <w:pPr>
        <w:ind w:left="360"/>
        <w:rPr>
          <w:i/>
          <w:sz w:val="24"/>
          <w:szCs w:val="24"/>
        </w:rPr>
      </w:pPr>
      <w:r>
        <w:rPr>
          <w:i/>
          <w:sz w:val="24"/>
          <w:szCs w:val="24"/>
        </w:rPr>
        <w:t>The data acquired from student surveys will be presented:</w:t>
      </w:r>
    </w:p>
    <w:p w14:paraId="1F92D130" w14:textId="5CC84EB0" w:rsidR="00576441" w:rsidRPr="00576441" w:rsidRDefault="00576441" w:rsidP="00576441">
      <w:pPr>
        <w:pStyle w:val="ListParagraph"/>
        <w:numPr>
          <w:ilvl w:val="0"/>
          <w:numId w:val="20"/>
        </w:numPr>
        <w:rPr>
          <w:sz w:val="24"/>
          <w:szCs w:val="24"/>
        </w:rPr>
      </w:pPr>
      <w:r w:rsidRPr="00576441">
        <w:rPr>
          <w:sz w:val="24"/>
          <w:szCs w:val="24"/>
        </w:rPr>
        <w:t>Georgia Gwinnett College CREATE symposium, Fall 2020</w:t>
      </w:r>
    </w:p>
    <w:p w14:paraId="29E0D15B" w14:textId="126B5F15" w:rsidR="00576441" w:rsidRPr="00576441" w:rsidRDefault="00576441" w:rsidP="00576441">
      <w:pPr>
        <w:pStyle w:val="ListParagraph"/>
        <w:numPr>
          <w:ilvl w:val="0"/>
          <w:numId w:val="20"/>
        </w:numPr>
        <w:rPr>
          <w:sz w:val="24"/>
          <w:szCs w:val="24"/>
        </w:rPr>
      </w:pPr>
      <w:r w:rsidRPr="00576441">
        <w:rPr>
          <w:sz w:val="24"/>
          <w:szCs w:val="24"/>
        </w:rPr>
        <w:t>Association of Southeastern Biologists Annual Conference, Spr</w:t>
      </w:r>
      <w:r>
        <w:rPr>
          <w:sz w:val="24"/>
          <w:szCs w:val="24"/>
        </w:rPr>
        <w:t>ing 2021</w:t>
      </w:r>
    </w:p>
    <w:p w14:paraId="254C6510" w14:textId="5E6A3985" w:rsidR="00576441" w:rsidRPr="00576441" w:rsidRDefault="00576441" w:rsidP="00576441">
      <w:pPr>
        <w:ind w:left="360"/>
        <w:rPr>
          <w:sz w:val="24"/>
          <w:szCs w:val="24"/>
        </w:rPr>
      </w:pPr>
      <w:r>
        <w:rPr>
          <w:sz w:val="24"/>
          <w:szCs w:val="24"/>
        </w:rPr>
        <w:t>Additionally, the team members intend to submit the work and statistical findings for a peer-reviewed publication in the future.</w:t>
      </w:r>
    </w:p>
    <w:p w14:paraId="1CCB5C8D" w14:textId="77777777" w:rsidR="00576441" w:rsidRPr="00576441" w:rsidRDefault="00576441" w:rsidP="00576441">
      <w:pPr>
        <w:pStyle w:val="ListParagraph"/>
        <w:rPr>
          <w:b/>
          <w:sz w:val="24"/>
          <w:szCs w:val="24"/>
        </w:rPr>
      </w:pPr>
    </w:p>
    <w:sectPr w:rsidR="00576441" w:rsidRPr="005764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8D42D2"/>
    <w:multiLevelType w:val="hybridMultilevel"/>
    <w:tmpl w:val="104EECD0"/>
    <w:lvl w:ilvl="0" w:tplc="5550758C">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17"/>
  </w:num>
  <w:num w:numId="4">
    <w:abstractNumId w:val="14"/>
  </w:num>
  <w:num w:numId="5">
    <w:abstractNumId w:val="5"/>
  </w:num>
  <w:num w:numId="6">
    <w:abstractNumId w:val="6"/>
  </w:num>
  <w:num w:numId="7">
    <w:abstractNumId w:val="3"/>
  </w:num>
  <w:num w:numId="8">
    <w:abstractNumId w:val="8"/>
  </w:num>
  <w:num w:numId="9">
    <w:abstractNumId w:val="2"/>
  </w:num>
  <w:num w:numId="10">
    <w:abstractNumId w:val="12"/>
  </w:num>
  <w:num w:numId="11">
    <w:abstractNumId w:val="1"/>
  </w:num>
  <w:num w:numId="12">
    <w:abstractNumId w:val="13"/>
  </w:num>
  <w:num w:numId="13">
    <w:abstractNumId w:val="15"/>
  </w:num>
  <w:num w:numId="14">
    <w:abstractNumId w:val="11"/>
  </w:num>
  <w:num w:numId="15">
    <w:abstractNumId w:val="4"/>
  </w:num>
  <w:num w:numId="16">
    <w:abstractNumId w:val="18"/>
  </w:num>
  <w:num w:numId="17">
    <w:abstractNumId w:val="9"/>
  </w:num>
  <w:num w:numId="18">
    <w:abstractNumId w:val="19"/>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QxMLA0NzGzMDMzNbZQ0lEKTi0uzszPAykwrAUAwcnclCwAAAA="/>
  </w:docVars>
  <w:rsids>
    <w:rsidRoot w:val="00346044"/>
    <w:rsid w:val="0002572D"/>
    <w:rsid w:val="00044DF3"/>
    <w:rsid w:val="00062EBD"/>
    <w:rsid w:val="00071B22"/>
    <w:rsid w:val="00075E05"/>
    <w:rsid w:val="00080730"/>
    <w:rsid w:val="00082546"/>
    <w:rsid w:val="00101A24"/>
    <w:rsid w:val="001609C9"/>
    <w:rsid w:val="001752B0"/>
    <w:rsid w:val="00190A51"/>
    <w:rsid w:val="001A218C"/>
    <w:rsid w:val="001A451B"/>
    <w:rsid w:val="001B2107"/>
    <w:rsid w:val="001C5F8C"/>
    <w:rsid w:val="001D51FD"/>
    <w:rsid w:val="001E01BE"/>
    <w:rsid w:val="001E0EE3"/>
    <w:rsid w:val="001F4532"/>
    <w:rsid w:val="00206262"/>
    <w:rsid w:val="00220876"/>
    <w:rsid w:val="00221402"/>
    <w:rsid w:val="00240544"/>
    <w:rsid w:val="00285B86"/>
    <w:rsid w:val="00292255"/>
    <w:rsid w:val="003038A8"/>
    <w:rsid w:val="0033401E"/>
    <w:rsid w:val="00346044"/>
    <w:rsid w:val="003E1BCB"/>
    <w:rsid w:val="003F4D85"/>
    <w:rsid w:val="00471C68"/>
    <w:rsid w:val="0048459F"/>
    <w:rsid w:val="004F2656"/>
    <w:rsid w:val="005212A0"/>
    <w:rsid w:val="00576441"/>
    <w:rsid w:val="005C11E8"/>
    <w:rsid w:val="00606D4E"/>
    <w:rsid w:val="00630263"/>
    <w:rsid w:val="00684A25"/>
    <w:rsid w:val="00687254"/>
    <w:rsid w:val="006A36A9"/>
    <w:rsid w:val="0073273B"/>
    <w:rsid w:val="00772C9F"/>
    <w:rsid w:val="00811187"/>
    <w:rsid w:val="008700F7"/>
    <w:rsid w:val="00871BC4"/>
    <w:rsid w:val="008766D0"/>
    <w:rsid w:val="00945780"/>
    <w:rsid w:val="00953B74"/>
    <w:rsid w:val="0097575D"/>
    <w:rsid w:val="00987DD6"/>
    <w:rsid w:val="00A06E45"/>
    <w:rsid w:val="00A70941"/>
    <w:rsid w:val="00A922AF"/>
    <w:rsid w:val="00A95F7F"/>
    <w:rsid w:val="00AF4890"/>
    <w:rsid w:val="00B516BC"/>
    <w:rsid w:val="00B90CC8"/>
    <w:rsid w:val="00BF3C8A"/>
    <w:rsid w:val="00C45872"/>
    <w:rsid w:val="00C55E38"/>
    <w:rsid w:val="00C66162"/>
    <w:rsid w:val="00C749E5"/>
    <w:rsid w:val="00C807D1"/>
    <w:rsid w:val="00C80819"/>
    <w:rsid w:val="00C96BCC"/>
    <w:rsid w:val="00CB083C"/>
    <w:rsid w:val="00D11976"/>
    <w:rsid w:val="00D35143"/>
    <w:rsid w:val="00D63968"/>
    <w:rsid w:val="00DC2BFF"/>
    <w:rsid w:val="00DD3803"/>
    <w:rsid w:val="00DD5245"/>
    <w:rsid w:val="00DF79E1"/>
    <w:rsid w:val="00E167BE"/>
    <w:rsid w:val="00E34FAA"/>
    <w:rsid w:val="00EE35AB"/>
    <w:rsid w:val="00EE7C7E"/>
    <w:rsid w:val="00F1379D"/>
    <w:rsid w:val="00F521FF"/>
    <w:rsid w:val="00F6144B"/>
    <w:rsid w:val="00F6782A"/>
    <w:rsid w:val="00F70B70"/>
    <w:rsid w:val="00F7394A"/>
    <w:rsid w:val="00F95C09"/>
    <w:rsid w:val="00FC4584"/>
    <w:rsid w:val="00FC7501"/>
    <w:rsid w:val="00FF3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uiPriority w:val="39"/>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rmalWeb">
    <w:name w:val="Normal (Web)"/>
    <w:basedOn w:val="Normal"/>
    <w:uiPriority w:val="99"/>
    <w:semiHidden/>
    <w:unhideWhenUsed/>
    <w:rsid w:val="001E01B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C5F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F8C"/>
    <w:rPr>
      <w:rFonts w:ascii="Segoe UI" w:hAnsi="Segoe UI" w:cs="Segoe UI"/>
      <w:sz w:val="18"/>
      <w:szCs w:val="18"/>
    </w:rPr>
  </w:style>
  <w:style w:type="character" w:styleId="Strong">
    <w:name w:val="Strong"/>
    <w:basedOn w:val="DefaultParagraphFont"/>
    <w:uiPriority w:val="22"/>
    <w:qFormat/>
    <w:rsid w:val="00F521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292255455">
      <w:bodyDiv w:val="1"/>
      <w:marLeft w:val="0"/>
      <w:marRight w:val="0"/>
      <w:marTop w:val="0"/>
      <w:marBottom w:val="0"/>
      <w:divBdr>
        <w:top w:val="none" w:sz="0" w:space="0" w:color="auto"/>
        <w:left w:val="none" w:sz="0" w:space="0" w:color="auto"/>
        <w:bottom w:val="none" w:sz="0" w:space="0" w:color="auto"/>
        <w:right w:val="none" w:sz="0" w:space="0" w:color="auto"/>
      </w:divBdr>
    </w:div>
    <w:div w:id="1037580967">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514294955">
      <w:bodyDiv w:val="1"/>
      <w:marLeft w:val="0"/>
      <w:marRight w:val="0"/>
      <w:marTop w:val="0"/>
      <w:marBottom w:val="0"/>
      <w:divBdr>
        <w:top w:val="none" w:sz="0" w:space="0" w:color="auto"/>
        <w:left w:val="none" w:sz="0" w:space="0" w:color="auto"/>
        <w:bottom w:val="none" w:sz="0" w:space="0" w:color="auto"/>
        <w:right w:val="none" w:sz="0" w:space="0" w:color="auto"/>
      </w:divBdr>
    </w:div>
    <w:div w:id="1538659418">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203707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skatzman\Dropbox\STEC4500\Fall%2020%20ALG%20project\FinalGradeDistribution%20sp20,sum20.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715048118985125"/>
          <c:y val="3.7037037037037035E-2"/>
          <c:w val="0.67327515310586172"/>
          <c:h val="0.74350320793234181"/>
        </c:manualLayout>
      </c:layout>
      <c:barChart>
        <c:barDir val="col"/>
        <c:grouping val="clustered"/>
        <c:varyColors val="0"/>
        <c:ser>
          <c:idx val="0"/>
          <c:order val="0"/>
          <c:tx>
            <c:strRef>
              <c:f>FinalPercentages!$G$4</c:f>
              <c:strCache>
                <c:ptCount val="1"/>
                <c:pt idx="0">
                  <c:v>Traditional</c:v>
                </c:pt>
              </c:strCache>
            </c:strRef>
          </c:tx>
          <c:spPr>
            <a:solidFill>
              <a:schemeClr val="accent1"/>
            </a:solidFill>
            <a:ln>
              <a:noFill/>
            </a:ln>
            <a:effectLst/>
          </c:spPr>
          <c:invertIfNegative val="0"/>
          <c:cat>
            <c:strRef>
              <c:f>FinalPercentages!$F$5:$F$10</c:f>
              <c:strCache>
                <c:ptCount val="6"/>
                <c:pt idx="0">
                  <c:v>A</c:v>
                </c:pt>
                <c:pt idx="1">
                  <c:v>B</c:v>
                </c:pt>
                <c:pt idx="2">
                  <c:v>C</c:v>
                </c:pt>
                <c:pt idx="3">
                  <c:v>D</c:v>
                </c:pt>
                <c:pt idx="4">
                  <c:v>F</c:v>
                </c:pt>
                <c:pt idx="5">
                  <c:v>W</c:v>
                </c:pt>
              </c:strCache>
            </c:strRef>
          </c:cat>
          <c:val>
            <c:numRef>
              <c:f>FinalPercentages!$G$5:$G$10</c:f>
              <c:numCache>
                <c:formatCode>General</c:formatCode>
                <c:ptCount val="6"/>
                <c:pt idx="0">
                  <c:v>34.74</c:v>
                </c:pt>
                <c:pt idx="1">
                  <c:v>27.96</c:v>
                </c:pt>
                <c:pt idx="2">
                  <c:v>16.100000000000001</c:v>
                </c:pt>
                <c:pt idx="3">
                  <c:v>5.93</c:v>
                </c:pt>
                <c:pt idx="4">
                  <c:v>0.85</c:v>
                </c:pt>
                <c:pt idx="5">
                  <c:v>14.4</c:v>
                </c:pt>
              </c:numCache>
            </c:numRef>
          </c:val>
          <c:extLst>
            <c:ext xmlns:c16="http://schemas.microsoft.com/office/drawing/2014/chart" uri="{C3380CC4-5D6E-409C-BE32-E72D297353CC}">
              <c16:uniqueId val="{00000000-5950-4C2C-9CEE-AB9ECD6925CA}"/>
            </c:ext>
          </c:extLst>
        </c:ser>
        <c:ser>
          <c:idx val="1"/>
          <c:order val="1"/>
          <c:tx>
            <c:strRef>
              <c:f>FinalPercentages!$H$4</c:f>
              <c:strCache>
                <c:ptCount val="1"/>
                <c:pt idx="0">
                  <c:v>OER </c:v>
                </c:pt>
              </c:strCache>
            </c:strRef>
          </c:tx>
          <c:spPr>
            <a:solidFill>
              <a:schemeClr val="accent2"/>
            </a:solidFill>
            <a:ln>
              <a:noFill/>
            </a:ln>
            <a:effectLst/>
          </c:spPr>
          <c:invertIfNegative val="0"/>
          <c:cat>
            <c:strRef>
              <c:f>FinalPercentages!$F$5:$F$10</c:f>
              <c:strCache>
                <c:ptCount val="6"/>
                <c:pt idx="0">
                  <c:v>A</c:v>
                </c:pt>
                <c:pt idx="1">
                  <c:v>B</c:v>
                </c:pt>
                <c:pt idx="2">
                  <c:v>C</c:v>
                </c:pt>
                <c:pt idx="3">
                  <c:v>D</c:v>
                </c:pt>
                <c:pt idx="4">
                  <c:v>F</c:v>
                </c:pt>
                <c:pt idx="5">
                  <c:v>W</c:v>
                </c:pt>
              </c:strCache>
            </c:strRef>
          </c:cat>
          <c:val>
            <c:numRef>
              <c:f>FinalPercentages!$H$5:$H$10</c:f>
              <c:numCache>
                <c:formatCode>General</c:formatCode>
                <c:ptCount val="6"/>
                <c:pt idx="0">
                  <c:v>20.37</c:v>
                </c:pt>
                <c:pt idx="1">
                  <c:v>26.54</c:v>
                </c:pt>
                <c:pt idx="2">
                  <c:v>17.28</c:v>
                </c:pt>
                <c:pt idx="3">
                  <c:v>8.64</c:v>
                </c:pt>
                <c:pt idx="4">
                  <c:v>9.8699999999999992</c:v>
                </c:pt>
                <c:pt idx="5">
                  <c:v>17.28</c:v>
                </c:pt>
              </c:numCache>
            </c:numRef>
          </c:val>
          <c:extLst>
            <c:ext xmlns:c16="http://schemas.microsoft.com/office/drawing/2014/chart" uri="{C3380CC4-5D6E-409C-BE32-E72D297353CC}">
              <c16:uniqueId val="{00000001-5950-4C2C-9CEE-AB9ECD6925CA}"/>
            </c:ext>
          </c:extLst>
        </c:ser>
        <c:dLbls>
          <c:showLegendKey val="0"/>
          <c:showVal val="0"/>
          <c:showCatName val="0"/>
          <c:showSerName val="0"/>
          <c:showPercent val="0"/>
          <c:showBubbleSize val="0"/>
        </c:dLbls>
        <c:gapWidth val="300"/>
        <c:axId val="1582782752"/>
        <c:axId val="1083010288"/>
      </c:barChart>
      <c:catAx>
        <c:axId val="158278275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Grade</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083010288"/>
        <c:crosses val="autoZero"/>
        <c:auto val="1"/>
        <c:lblAlgn val="ctr"/>
        <c:lblOffset val="100"/>
        <c:noMultiLvlLbl val="0"/>
      </c:catAx>
      <c:valAx>
        <c:axId val="108301028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Percentage </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58278275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2320</Words>
  <Characters>13224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Shoshana Katzman</cp:lastModifiedBy>
  <cp:revision>4</cp:revision>
  <dcterms:created xsi:type="dcterms:W3CDTF">2020-12-02T17:34:00Z</dcterms:created>
  <dcterms:modified xsi:type="dcterms:W3CDTF">2020-12-02T20:24:00Z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