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6BF02510" w14:textId="78E1E042" w:rsidR="0033401E" w:rsidRDefault="0033401E" w:rsidP="0033401E">
      <w:pPr>
        <w:pStyle w:val="Heading1"/>
      </w:pPr>
      <w:bookmarkStart w:id="0" w:name="_GoBack"/>
      <w:bookmarkEnd w:id="0"/>
      <w:r>
        <w:t>General Information</w:t>
      </w:r>
    </w:p>
    <w:p w14:paraId="0C6536B2" w14:textId="77777777" w:rsidR="00956E61" w:rsidRPr="00956E61" w:rsidRDefault="00956E61" w:rsidP="00956E61"/>
    <w:p w14:paraId="0F7F768C" w14:textId="59C81361" w:rsidR="00956E61" w:rsidRPr="0067539C" w:rsidRDefault="00687254" w:rsidP="00956E61">
      <w:pPr>
        <w:ind w:left="360"/>
        <w:rPr>
          <w:rFonts w:cstheme="minorHAnsi"/>
          <w:sz w:val="24"/>
          <w:szCs w:val="24"/>
        </w:rPr>
      </w:pPr>
      <w:r w:rsidRPr="0067539C">
        <w:rPr>
          <w:rFonts w:cstheme="minorHAnsi"/>
          <w:b/>
          <w:sz w:val="24"/>
          <w:szCs w:val="24"/>
        </w:rPr>
        <w:t>Date</w:t>
      </w:r>
      <w:r w:rsidR="003E1BCB" w:rsidRPr="0067539C">
        <w:rPr>
          <w:rFonts w:cstheme="minorHAnsi"/>
          <w:b/>
          <w:sz w:val="24"/>
          <w:szCs w:val="24"/>
        </w:rPr>
        <w:t>:</w:t>
      </w:r>
      <w:r w:rsidR="000A2DB0" w:rsidRPr="0067539C">
        <w:rPr>
          <w:rFonts w:cstheme="minorHAnsi"/>
          <w:b/>
          <w:sz w:val="24"/>
          <w:szCs w:val="24"/>
        </w:rPr>
        <w:t xml:space="preserve"> </w:t>
      </w:r>
      <w:r w:rsidR="0067539C">
        <w:rPr>
          <w:rFonts w:cstheme="minorHAnsi"/>
          <w:sz w:val="24"/>
          <w:szCs w:val="24"/>
        </w:rPr>
        <w:t>1/20</w:t>
      </w:r>
      <w:r w:rsidR="000A2DB0" w:rsidRPr="0067539C">
        <w:rPr>
          <w:rFonts w:cstheme="minorHAnsi"/>
          <w:sz w:val="24"/>
          <w:szCs w:val="24"/>
        </w:rPr>
        <w:t>/2021</w:t>
      </w:r>
    </w:p>
    <w:p w14:paraId="44645C09" w14:textId="625D756E" w:rsidR="00956E61" w:rsidRPr="0067539C" w:rsidRDefault="0033401E" w:rsidP="00956E61">
      <w:pPr>
        <w:ind w:left="360"/>
        <w:rPr>
          <w:rFonts w:cstheme="minorHAnsi"/>
          <w:sz w:val="24"/>
          <w:szCs w:val="24"/>
        </w:rPr>
      </w:pPr>
      <w:r w:rsidRPr="0067539C">
        <w:rPr>
          <w:rFonts w:cstheme="minorHAnsi"/>
          <w:b/>
          <w:sz w:val="24"/>
          <w:szCs w:val="24"/>
        </w:rPr>
        <w:t>Grant Round:</w:t>
      </w:r>
      <w:r w:rsidR="000A2DB0" w:rsidRPr="0067539C">
        <w:rPr>
          <w:rFonts w:cstheme="minorHAnsi"/>
          <w:b/>
          <w:sz w:val="24"/>
          <w:szCs w:val="24"/>
        </w:rPr>
        <w:t xml:space="preserve"> </w:t>
      </w:r>
      <w:r w:rsidR="000A2DB0" w:rsidRPr="0067539C">
        <w:rPr>
          <w:rFonts w:cstheme="minorHAnsi"/>
          <w:sz w:val="24"/>
          <w:szCs w:val="24"/>
        </w:rPr>
        <w:t>15</w:t>
      </w:r>
    </w:p>
    <w:p w14:paraId="7AD137D7" w14:textId="36B19F1D" w:rsidR="00956E61" w:rsidRPr="0067539C" w:rsidRDefault="003E1BCB" w:rsidP="00956E61">
      <w:pPr>
        <w:ind w:left="360"/>
        <w:rPr>
          <w:rFonts w:cstheme="minorHAnsi"/>
          <w:sz w:val="24"/>
          <w:szCs w:val="24"/>
        </w:rPr>
      </w:pPr>
      <w:r w:rsidRPr="0067539C">
        <w:rPr>
          <w:rFonts w:cstheme="minorHAnsi"/>
          <w:b/>
          <w:sz w:val="24"/>
          <w:szCs w:val="24"/>
        </w:rPr>
        <w:t>Grant</w:t>
      </w:r>
      <w:r w:rsidR="00687254" w:rsidRPr="0067539C">
        <w:rPr>
          <w:rFonts w:cstheme="minorHAnsi"/>
          <w:b/>
          <w:sz w:val="24"/>
          <w:szCs w:val="24"/>
        </w:rPr>
        <w:t xml:space="preserve"> Number</w:t>
      </w:r>
      <w:r w:rsidRPr="0067539C">
        <w:rPr>
          <w:rFonts w:cstheme="minorHAnsi"/>
          <w:b/>
          <w:sz w:val="24"/>
          <w:szCs w:val="24"/>
        </w:rPr>
        <w:t>:</w:t>
      </w:r>
      <w:r w:rsidR="000A2DB0" w:rsidRPr="0067539C">
        <w:rPr>
          <w:rFonts w:cstheme="minorHAnsi"/>
          <w:b/>
          <w:sz w:val="24"/>
          <w:szCs w:val="24"/>
        </w:rPr>
        <w:t xml:space="preserve"> </w:t>
      </w:r>
      <w:r w:rsidR="000A2DB0" w:rsidRPr="0067539C">
        <w:rPr>
          <w:rFonts w:cstheme="minorHAnsi"/>
          <w:sz w:val="24"/>
          <w:szCs w:val="24"/>
        </w:rPr>
        <w:t>478</w:t>
      </w:r>
    </w:p>
    <w:p w14:paraId="1AFD8EBF" w14:textId="1DF17BED" w:rsidR="00956E61" w:rsidRPr="00956E61" w:rsidRDefault="00687254" w:rsidP="00956E61">
      <w:pPr>
        <w:ind w:left="360"/>
        <w:rPr>
          <w:rFonts w:cstheme="minorHAnsi"/>
          <w:bCs/>
          <w:sz w:val="24"/>
          <w:szCs w:val="24"/>
        </w:rPr>
      </w:pPr>
      <w:r w:rsidRPr="0067539C">
        <w:rPr>
          <w:rFonts w:cstheme="minorHAnsi"/>
          <w:b/>
          <w:sz w:val="24"/>
          <w:szCs w:val="24"/>
        </w:rPr>
        <w:t>Institution Name(s</w:t>
      </w:r>
      <w:r w:rsidR="003E1BCB" w:rsidRPr="0067539C">
        <w:rPr>
          <w:rFonts w:cstheme="minorHAnsi"/>
          <w:b/>
          <w:sz w:val="24"/>
          <w:szCs w:val="24"/>
        </w:rPr>
        <w:t>):</w:t>
      </w:r>
      <w:r w:rsidR="000A2DB0" w:rsidRPr="0067539C">
        <w:rPr>
          <w:rFonts w:cstheme="minorHAnsi"/>
          <w:b/>
          <w:sz w:val="24"/>
          <w:szCs w:val="24"/>
        </w:rPr>
        <w:t xml:space="preserve"> </w:t>
      </w:r>
      <w:r w:rsidR="000A2DB0" w:rsidRPr="0067539C">
        <w:rPr>
          <w:rStyle w:val="Strong"/>
          <w:rFonts w:cstheme="minorHAnsi"/>
          <w:b w:val="0"/>
          <w:sz w:val="24"/>
          <w:szCs w:val="24"/>
        </w:rPr>
        <w:t>Georgia State University</w:t>
      </w:r>
    </w:p>
    <w:p w14:paraId="713B8CF6" w14:textId="6E8A820A" w:rsidR="00956E61" w:rsidRPr="0067539C" w:rsidRDefault="0033401E" w:rsidP="00956E61">
      <w:pPr>
        <w:ind w:left="360"/>
        <w:rPr>
          <w:rFonts w:cstheme="minorHAnsi"/>
          <w:sz w:val="24"/>
          <w:szCs w:val="24"/>
        </w:rPr>
      </w:pPr>
      <w:r w:rsidRPr="0067539C">
        <w:rPr>
          <w:rFonts w:cstheme="minorHAnsi"/>
          <w:b/>
          <w:sz w:val="24"/>
          <w:szCs w:val="24"/>
        </w:rPr>
        <w:t>Project Lead:</w:t>
      </w:r>
      <w:r w:rsidR="000A2DB0" w:rsidRPr="0067539C">
        <w:rPr>
          <w:rFonts w:cstheme="minorHAnsi"/>
          <w:b/>
          <w:sz w:val="24"/>
          <w:szCs w:val="24"/>
        </w:rPr>
        <w:t xml:space="preserve"> </w:t>
      </w:r>
      <w:r w:rsidR="000A2DB0" w:rsidRPr="0067539C">
        <w:rPr>
          <w:rFonts w:cstheme="minorHAnsi"/>
          <w:sz w:val="24"/>
          <w:szCs w:val="24"/>
        </w:rPr>
        <w:t>Scott Jacques</w:t>
      </w:r>
    </w:p>
    <w:p w14:paraId="4A903A7C" w14:textId="77777777" w:rsidR="000A2DB0" w:rsidRPr="0067539C" w:rsidRDefault="00687254" w:rsidP="000A2DB0">
      <w:pPr>
        <w:ind w:left="360"/>
        <w:rPr>
          <w:rStyle w:val="Strong"/>
          <w:rFonts w:cstheme="minorHAnsi"/>
          <w:b w:val="0"/>
          <w:sz w:val="24"/>
          <w:szCs w:val="24"/>
        </w:rPr>
      </w:pPr>
      <w:r w:rsidRPr="0067539C">
        <w:rPr>
          <w:rFonts w:cstheme="minorHAnsi"/>
          <w:b/>
          <w:sz w:val="24"/>
          <w:szCs w:val="24"/>
        </w:rPr>
        <w:t>Team Members (Name, Title, Department, Institutions if different, and email address for each)</w:t>
      </w:r>
      <w:r w:rsidR="003E1BCB" w:rsidRPr="0067539C">
        <w:rPr>
          <w:rFonts w:cstheme="minorHAnsi"/>
          <w:b/>
          <w:sz w:val="24"/>
          <w:szCs w:val="24"/>
        </w:rPr>
        <w:t>:</w:t>
      </w:r>
      <w:r w:rsidR="000A2DB0" w:rsidRPr="0067539C">
        <w:rPr>
          <w:rStyle w:val="Strong"/>
          <w:rFonts w:cstheme="minorHAnsi"/>
          <w:b w:val="0"/>
          <w:sz w:val="24"/>
          <w:szCs w:val="24"/>
        </w:rPr>
        <w:t xml:space="preserve"> </w:t>
      </w:r>
    </w:p>
    <w:p w14:paraId="14C107E4" w14:textId="21978951" w:rsidR="000A2DB0" w:rsidRPr="0067539C" w:rsidRDefault="000A2DB0" w:rsidP="000A2DB0">
      <w:pPr>
        <w:ind w:left="360"/>
        <w:rPr>
          <w:rStyle w:val="Strong"/>
          <w:rFonts w:cstheme="minorHAnsi"/>
          <w:b w:val="0"/>
          <w:sz w:val="24"/>
          <w:szCs w:val="24"/>
        </w:rPr>
      </w:pPr>
      <w:r w:rsidRPr="0067539C">
        <w:rPr>
          <w:rStyle w:val="Strong"/>
          <w:rFonts w:cstheme="minorHAnsi"/>
          <w:b w:val="0"/>
          <w:sz w:val="24"/>
          <w:szCs w:val="24"/>
        </w:rPr>
        <w:t>Scott Jacques, Associate Professor, Criminal Justice and Criminology, sjacques1@gsu.edu</w:t>
      </w:r>
    </w:p>
    <w:p w14:paraId="67E7EAD3" w14:textId="1B942D85" w:rsidR="000A2DB0" w:rsidRPr="0067539C" w:rsidRDefault="000A2DB0" w:rsidP="000A2DB0">
      <w:pPr>
        <w:ind w:left="360"/>
        <w:rPr>
          <w:rFonts w:cstheme="minorHAnsi"/>
          <w:bCs/>
          <w:sz w:val="24"/>
          <w:szCs w:val="24"/>
        </w:rPr>
      </w:pPr>
      <w:r w:rsidRPr="0067539C">
        <w:rPr>
          <w:rFonts w:cstheme="minorHAnsi"/>
          <w:sz w:val="24"/>
          <w:szCs w:val="24"/>
        </w:rPr>
        <w:t xml:space="preserve">Dean Dabney, Professor and Chair, </w:t>
      </w:r>
      <w:r w:rsidRPr="0067539C">
        <w:rPr>
          <w:rStyle w:val="Strong"/>
          <w:rFonts w:cstheme="minorHAnsi"/>
          <w:b w:val="0"/>
          <w:sz w:val="24"/>
          <w:szCs w:val="24"/>
        </w:rPr>
        <w:t>Criminal Justice and Criminology, ddabney@gsu.edu</w:t>
      </w:r>
    </w:p>
    <w:p w14:paraId="1FA26E26" w14:textId="1111326F" w:rsidR="000A2DB0" w:rsidRPr="0067539C" w:rsidRDefault="000A2DB0" w:rsidP="000A2DB0">
      <w:pPr>
        <w:ind w:left="360"/>
        <w:rPr>
          <w:rFonts w:cstheme="minorHAnsi"/>
          <w:sz w:val="24"/>
          <w:szCs w:val="24"/>
        </w:rPr>
      </w:pPr>
      <w:r w:rsidRPr="0067539C">
        <w:rPr>
          <w:rFonts w:cstheme="minorHAnsi"/>
          <w:sz w:val="24"/>
          <w:szCs w:val="24"/>
        </w:rPr>
        <w:t xml:space="preserve">Leah Daigle, Professor, </w:t>
      </w:r>
      <w:r w:rsidRPr="0067539C">
        <w:rPr>
          <w:rStyle w:val="Strong"/>
          <w:rFonts w:cstheme="minorHAnsi"/>
          <w:b w:val="0"/>
          <w:sz w:val="24"/>
          <w:szCs w:val="24"/>
        </w:rPr>
        <w:t>Criminal Justice and Criminology, ldaigle@gsu.edu</w:t>
      </w:r>
    </w:p>
    <w:p w14:paraId="06BFEBBC" w14:textId="627F1286" w:rsidR="000A2DB0" w:rsidRPr="0067539C" w:rsidRDefault="000A2DB0" w:rsidP="000A2DB0">
      <w:pPr>
        <w:ind w:left="360"/>
        <w:rPr>
          <w:rFonts w:cstheme="minorHAnsi"/>
          <w:sz w:val="24"/>
          <w:szCs w:val="24"/>
        </w:rPr>
      </w:pPr>
      <w:r w:rsidRPr="0067539C">
        <w:rPr>
          <w:rFonts w:cstheme="minorHAnsi"/>
          <w:sz w:val="24"/>
          <w:szCs w:val="24"/>
        </w:rPr>
        <w:t xml:space="preserve">Josh Hinkle, Associate Professor, </w:t>
      </w:r>
      <w:r w:rsidRPr="0067539C">
        <w:rPr>
          <w:rStyle w:val="Strong"/>
          <w:rFonts w:cstheme="minorHAnsi"/>
          <w:b w:val="0"/>
          <w:sz w:val="24"/>
          <w:szCs w:val="24"/>
        </w:rPr>
        <w:t>Criminal Justice and Criminology, jhinkle@gsu.edu</w:t>
      </w:r>
    </w:p>
    <w:p w14:paraId="6653A01C" w14:textId="7437DAA1" w:rsidR="000A2DB0" w:rsidRPr="0067539C" w:rsidRDefault="000A2DB0" w:rsidP="000A2DB0">
      <w:pPr>
        <w:ind w:left="360"/>
        <w:rPr>
          <w:rFonts w:cstheme="minorHAnsi"/>
          <w:sz w:val="24"/>
          <w:szCs w:val="24"/>
        </w:rPr>
      </w:pPr>
      <w:r w:rsidRPr="0067539C">
        <w:rPr>
          <w:rFonts w:cstheme="minorHAnsi"/>
          <w:sz w:val="24"/>
          <w:szCs w:val="24"/>
        </w:rPr>
        <w:t xml:space="preserve">Natasha Johnson, Clinical Instructor, </w:t>
      </w:r>
      <w:r w:rsidRPr="0067539C">
        <w:rPr>
          <w:rStyle w:val="Strong"/>
          <w:rFonts w:cstheme="minorHAnsi"/>
          <w:b w:val="0"/>
          <w:sz w:val="24"/>
          <w:szCs w:val="24"/>
        </w:rPr>
        <w:t>Criminal Justice and Criminology, njohnson93@gsu.edu</w:t>
      </w:r>
    </w:p>
    <w:p w14:paraId="430FFACA" w14:textId="0003C654" w:rsidR="000A2DB0" w:rsidRPr="0067539C" w:rsidRDefault="000A2DB0" w:rsidP="000A2DB0">
      <w:pPr>
        <w:ind w:left="360"/>
        <w:rPr>
          <w:rFonts w:cstheme="minorHAnsi"/>
          <w:sz w:val="24"/>
          <w:szCs w:val="24"/>
        </w:rPr>
      </w:pPr>
      <w:r w:rsidRPr="0067539C">
        <w:rPr>
          <w:rFonts w:cstheme="minorHAnsi"/>
          <w:sz w:val="24"/>
          <w:szCs w:val="24"/>
        </w:rPr>
        <w:t xml:space="preserve">Marie Ouellet, Assistant Professor, </w:t>
      </w:r>
      <w:r w:rsidRPr="0067539C">
        <w:rPr>
          <w:rStyle w:val="Strong"/>
          <w:rFonts w:cstheme="minorHAnsi"/>
          <w:b w:val="0"/>
          <w:sz w:val="24"/>
          <w:szCs w:val="24"/>
        </w:rPr>
        <w:t>Criminal Justice and Criminology, mouellet@gsu.edu</w:t>
      </w:r>
    </w:p>
    <w:p w14:paraId="1EA3FB92" w14:textId="691BC35C" w:rsidR="0067539C" w:rsidRPr="0067539C" w:rsidRDefault="00DF79E1" w:rsidP="0067539C">
      <w:pPr>
        <w:ind w:left="360"/>
        <w:rPr>
          <w:b/>
          <w:sz w:val="24"/>
          <w:szCs w:val="24"/>
        </w:rPr>
      </w:pPr>
      <w:r w:rsidRPr="0067539C">
        <w:rPr>
          <w:b/>
          <w:sz w:val="24"/>
          <w:szCs w:val="24"/>
        </w:rPr>
        <w:t>Course Name(s) and Course Numbers</w:t>
      </w:r>
      <w:r w:rsidR="003E1BCB" w:rsidRPr="0067539C">
        <w:rPr>
          <w:b/>
          <w:sz w:val="24"/>
          <w:szCs w:val="24"/>
        </w:rPr>
        <w:t>:</w:t>
      </w:r>
    </w:p>
    <w:p w14:paraId="5331FCAA" w14:textId="77777777" w:rsidR="0067539C" w:rsidRPr="0067539C" w:rsidRDefault="0067539C" w:rsidP="0067539C">
      <w:pPr>
        <w:ind w:left="360"/>
        <w:rPr>
          <w:b/>
          <w:sz w:val="24"/>
          <w:szCs w:val="24"/>
        </w:rPr>
      </w:pPr>
      <w:r w:rsidRPr="0067539C">
        <w:rPr>
          <w:sz w:val="24"/>
          <w:szCs w:val="24"/>
        </w:rPr>
        <w:t>Policing in America (CRJU 2110)</w:t>
      </w:r>
    </w:p>
    <w:p w14:paraId="58CC20C2" w14:textId="77777777" w:rsidR="0067539C" w:rsidRPr="0067539C" w:rsidRDefault="0067539C" w:rsidP="0067539C">
      <w:pPr>
        <w:ind w:left="360"/>
        <w:rPr>
          <w:b/>
          <w:sz w:val="24"/>
          <w:szCs w:val="24"/>
        </w:rPr>
      </w:pPr>
      <w:r w:rsidRPr="0067539C">
        <w:rPr>
          <w:sz w:val="24"/>
          <w:szCs w:val="24"/>
        </w:rPr>
        <w:t>Social Science &amp; the American Crime Problem (CRJU 2200)</w:t>
      </w:r>
    </w:p>
    <w:p w14:paraId="68728CC6" w14:textId="6ED0BC13" w:rsidR="0067539C" w:rsidRPr="0067539C" w:rsidRDefault="0067539C" w:rsidP="0067539C">
      <w:pPr>
        <w:ind w:left="360"/>
        <w:rPr>
          <w:b/>
          <w:sz w:val="24"/>
          <w:szCs w:val="24"/>
        </w:rPr>
      </w:pPr>
      <w:r w:rsidRPr="0067539C">
        <w:rPr>
          <w:sz w:val="24"/>
          <w:szCs w:val="24"/>
        </w:rPr>
        <w:t>Ethical Issues in Criminal Justice (CRJU 3060)</w:t>
      </w:r>
    </w:p>
    <w:p w14:paraId="0639A634" w14:textId="0D8F8211" w:rsidR="0067539C" w:rsidRPr="0067539C" w:rsidRDefault="0067539C" w:rsidP="0067539C">
      <w:pPr>
        <w:ind w:left="360"/>
        <w:rPr>
          <w:b/>
          <w:sz w:val="24"/>
          <w:szCs w:val="24"/>
        </w:rPr>
      </w:pPr>
      <w:r w:rsidRPr="0067539C">
        <w:rPr>
          <w:sz w:val="24"/>
          <w:szCs w:val="24"/>
        </w:rPr>
        <w:t>Statistical Analysis in Criminal Justice (CRJU 3610)</w:t>
      </w:r>
    </w:p>
    <w:p w14:paraId="3E617D79" w14:textId="59518F9C" w:rsidR="00DF79E1" w:rsidRPr="0067539C" w:rsidRDefault="00DF79E1" w:rsidP="00E167BE">
      <w:pPr>
        <w:ind w:left="360"/>
        <w:rPr>
          <w:sz w:val="24"/>
          <w:szCs w:val="24"/>
        </w:rPr>
      </w:pPr>
      <w:r w:rsidRPr="004F2656">
        <w:rPr>
          <w:b/>
          <w:sz w:val="24"/>
          <w:szCs w:val="24"/>
        </w:rPr>
        <w:t>Semester Project Began</w:t>
      </w:r>
      <w:r w:rsidR="003E1BCB" w:rsidRPr="004F2656">
        <w:rPr>
          <w:b/>
          <w:sz w:val="24"/>
          <w:szCs w:val="24"/>
        </w:rPr>
        <w:t>:</w:t>
      </w:r>
      <w:r w:rsidR="0067539C">
        <w:rPr>
          <w:b/>
          <w:sz w:val="24"/>
          <w:szCs w:val="24"/>
        </w:rPr>
        <w:t xml:space="preserve"> </w:t>
      </w:r>
      <w:r w:rsidR="0067539C">
        <w:rPr>
          <w:sz w:val="24"/>
          <w:szCs w:val="24"/>
        </w:rPr>
        <w:t>Spring 2020</w:t>
      </w:r>
    </w:p>
    <w:p w14:paraId="4D2A60B3" w14:textId="1CFE47D7" w:rsidR="00687254" w:rsidRPr="0067539C" w:rsidRDefault="0033401E" w:rsidP="00E167BE">
      <w:pPr>
        <w:ind w:left="360"/>
        <w:rPr>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67539C">
        <w:rPr>
          <w:b/>
          <w:sz w:val="24"/>
          <w:szCs w:val="24"/>
        </w:rPr>
        <w:t xml:space="preserve"> </w:t>
      </w:r>
      <w:r w:rsidR="0067539C">
        <w:rPr>
          <w:sz w:val="24"/>
          <w:szCs w:val="24"/>
        </w:rPr>
        <w:t>Fall 2020</w:t>
      </w:r>
    </w:p>
    <w:p w14:paraId="7C819642" w14:textId="065C3CF4" w:rsidR="0033401E" w:rsidRDefault="00DF79E1" w:rsidP="0067539C">
      <w:pPr>
        <w:ind w:left="360"/>
        <w:rPr>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67539C">
        <w:rPr>
          <w:b/>
          <w:sz w:val="24"/>
          <w:szCs w:val="24"/>
        </w:rPr>
        <w:t xml:space="preserve"> </w:t>
      </w:r>
      <w:r w:rsidR="006E1E0A">
        <w:rPr>
          <w:sz w:val="24"/>
          <w:szCs w:val="24"/>
        </w:rPr>
        <w:t>597</w:t>
      </w:r>
    </w:p>
    <w:p w14:paraId="0F4A43D2" w14:textId="77777777" w:rsidR="0067539C" w:rsidRPr="0067539C" w:rsidRDefault="0067539C" w:rsidP="0067539C">
      <w:pPr>
        <w:ind w:left="360"/>
        <w:rPr>
          <w:sz w:val="24"/>
          <w:szCs w:val="24"/>
        </w:rPr>
      </w:pPr>
    </w:p>
    <w:p w14:paraId="626E78B0" w14:textId="77777777" w:rsidR="0067539C" w:rsidRDefault="0067539C">
      <w:pPr>
        <w:rPr>
          <w:rFonts w:asciiTheme="majorHAnsi" w:eastAsiaTheme="majorEastAsia" w:hAnsiTheme="majorHAnsi" w:cstheme="majorBidi"/>
          <w:color w:val="2E74B5" w:themeColor="accent1" w:themeShade="BF"/>
          <w:sz w:val="32"/>
          <w:szCs w:val="32"/>
        </w:rPr>
      </w:pPr>
      <w:r>
        <w:lastRenderedPageBreak/>
        <w:br w:type="page"/>
      </w:r>
    </w:p>
    <w:p w14:paraId="6674B072" w14:textId="5248C521" w:rsidR="00DF79E1" w:rsidRDefault="00DF79E1" w:rsidP="003F4D85">
      <w:pPr>
        <w:pStyle w:val="Heading1"/>
        <w:numPr>
          <w:ilvl w:val="0"/>
          <w:numId w:val="18"/>
        </w:numPr>
        <w:ind w:left="360"/>
      </w:pPr>
      <w:r w:rsidRPr="0048103B">
        <w:lastRenderedPageBreak/>
        <w:t>Narrative</w:t>
      </w:r>
    </w:p>
    <w:p w14:paraId="4CBF5BDA" w14:textId="6FCEE10F" w:rsidR="0048103B" w:rsidRDefault="00BC289F" w:rsidP="0048103B">
      <w:pPr>
        <w:ind w:left="360"/>
      </w:pPr>
      <w:r>
        <w:t xml:space="preserve">The pandemic presented unique challenges, to the say the least, to our transformations and instructional activities more broadly. </w:t>
      </w:r>
      <w:r w:rsidR="0048103B">
        <w:t xml:space="preserve">Because of the pandemic, and as explained in section 3.B, we think it is ill-advised to engage in the normal interpretations found in ALG Transformation Final Reports. However, there are some things that are certain; i.e., facts, not perceptions. The major, undeniable outcome is that we successfully transformed four required courses to no-cost. In doing so, we saved our recent students, and future ones, </w:t>
      </w:r>
      <w:r>
        <w:t>a sum in the hundreds of thousands of dollars. A few years from now, that sum will exceed a million dollars. The major lesson learned is that even during a worldwide pandemic, our faculty has “what it takes” to transform the courses to no-cost. Once life goes back to normal, we will compare our redesigned courses’ outcomes to those from before the pandemic and transformation.</w:t>
      </w:r>
    </w:p>
    <w:p w14:paraId="014EFC87" w14:textId="0967504A" w:rsidR="006E1E0A" w:rsidRDefault="00101A24" w:rsidP="006E1E0A">
      <w:pPr>
        <w:pStyle w:val="Heading1"/>
        <w:numPr>
          <w:ilvl w:val="0"/>
          <w:numId w:val="18"/>
        </w:numPr>
        <w:ind w:left="360"/>
      </w:pPr>
      <w:r w:rsidRPr="004F2656">
        <w:t>Quotes</w:t>
      </w:r>
    </w:p>
    <w:p w14:paraId="6218A20E" w14:textId="45713811" w:rsidR="006E1E0A" w:rsidRPr="006E1E0A" w:rsidRDefault="006E1E0A" w:rsidP="0048103B">
      <w:pPr>
        <w:pStyle w:val="NormalWeb"/>
        <w:numPr>
          <w:ilvl w:val="0"/>
          <w:numId w:val="20"/>
        </w:numPr>
        <w:ind w:left="720"/>
        <w:rPr>
          <w:rFonts w:asciiTheme="minorHAnsi" w:hAnsiTheme="minorHAnsi" w:cstheme="minorHAnsi"/>
          <w:lang w:val="en"/>
        </w:rPr>
      </w:pPr>
      <w:r w:rsidRPr="006E1E0A">
        <w:rPr>
          <w:rFonts w:asciiTheme="minorHAnsi" w:hAnsiTheme="minorHAnsi" w:cstheme="minorHAnsi"/>
        </w:rPr>
        <w:t>The books being free was extremely helpful, and even more helpful with the tough times that the pandemic has brought.</w:t>
      </w:r>
    </w:p>
    <w:p w14:paraId="42B7E849" w14:textId="77777777" w:rsidR="006E1E0A" w:rsidRDefault="006E1E0A" w:rsidP="0048103B">
      <w:pPr>
        <w:pStyle w:val="NormalWeb"/>
        <w:numPr>
          <w:ilvl w:val="0"/>
          <w:numId w:val="20"/>
        </w:numPr>
        <w:ind w:left="720"/>
        <w:rPr>
          <w:rFonts w:asciiTheme="minorHAnsi" w:hAnsiTheme="minorHAnsi" w:cstheme="minorHAnsi"/>
          <w:lang w:val="en"/>
        </w:rPr>
      </w:pPr>
      <w:r w:rsidRPr="006E1E0A">
        <w:rPr>
          <w:rFonts w:asciiTheme="minorHAnsi" w:hAnsiTheme="minorHAnsi" w:cstheme="minorHAnsi"/>
          <w:lang w:val="en"/>
        </w:rPr>
        <w:t>Having free books is good because I cannot—and most other students cannot afford—to pay $100 on top of tuition, student fees, and living costs. It’s not right that better-off people end up being better-off simply because they can afford a book so they got a good grade, while others cannot afford so they have to fail. [Edited for readability.]</w:t>
      </w:r>
    </w:p>
    <w:p w14:paraId="33346C24" w14:textId="7002BC83" w:rsidR="0072031C" w:rsidRDefault="006E1E0A" w:rsidP="0048103B">
      <w:pPr>
        <w:pStyle w:val="NormalWeb"/>
        <w:numPr>
          <w:ilvl w:val="0"/>
          <w:numId w:val="20"/>
        </w:numPr>
        <w:ind w:left="720"/>
        <w:rPr>
          <w:rFonts w:asciiTheme="minorHAnsi" w:hAnsiTheme="minorHAnsi" w:cstheme="minorHAnsi"/>
          <w:lang w:val="en"/>
        </w:rPr>
      </w:pPr>
      <w:r w:rsidRPr="006E1E0A">
        <w:rPr>
          <w:rFonts w:asciiTheme="minorHAnsi" w:hAnsiTheme="minorHAnsi" w:cstheme="minorHAnsi"/>
          <w:lang w:val="en"/>
        </w:rPr>
        <w:t xml:space="preserve">I enjoyed taking your class and reading the books. I </w:t>
      </w:r>
      <w:r>
        <w:rPr>
          <w:rFonts w:asciiTheme="minorHAnsi" w:hAnsiTheme="minorHAnsi" w:cstheme="minorHAnsi"/>
          <w:lang w:val="en"/>
        </w:rPr>
        <w:t>e</w:t>
      </w:r>
      <w:r w:rsidRPr="006E1E0A">
        <w:rPr>
          <w:rFonts w:asciiTheme="minorHAnsi" w:hAnsiTheme="minorHAnsi" w:cstheme="minorHAnsi"/>
          <w:lang w:val="en"/>
        </w:rPr>
        <w:t>specially enjoyed that the books were free</w:t>
      </w:r>
      <w:r>
        <w:rPr>
          <w:rFonts w:asciiTheme="minorHAnsi" w:hAnsiTheme="minorHAnsi" w:cstheme="minorHAnsi"/>
          <w:lang w:val="en"/>
        </w:rPr>
        <w:t>. I</w:t>
      </w:r>
      <w:r w:rsidRPr="006E1E0A">
        <w:rPr>
          <w:rFonts w:asciiTheme="minorHAnsi" w:hAnsiTheme="minorHAnsi" w:cstheme="minorHAnsi"/>
          <w:lang w:val="en"/>
        </w:rPr>
        <w:t xml:space="preserve"> didn't have to worry about fees</w:t>
      </w:r>
      <w:r>
        <w:rPr>
          <w:rFonts w:asciiTheme="minorHAnsi" w:hAnsiTheme="minorHAnsi" w:cstheme="minorHAnsi"/>
          <w:lang w:val="en"/>
        </w:rPr>
        <w:t>,</w:t>
      </w:r>
      <w:r w:rsidRPr="006E1E0A">
        <w:rPr>
          <w:rFonts w:asciiTheme="minorHAnsi" w:hAnsiTheme="minorHAnsi" w:cstheme="minorHAnsi"/>
          <w:lang w:val="en"/>
        </w:rPr>
        <w:t xml:space="preserve"> and it made it easier for everyone in the class to read</w:t>
      </w:r>
      <w:r>
        <w:rPr>
          <w:rFonts w:asciiTheme="minorHAnsi" w:hAnsiTheme="minorHAnsi" w:cstheme="minorHAnsi"/>
          <w:lang w:val="en"/>
        </w:rPr>
        <w:t>, e</w:t>
      </w:r>
      <w:r w:rsidRPr="006E1E0A">
        <w:rPr>
          <w:rFonts w:asciiTheme="minorHAnsi" w:hAnsiTheme="minorHAnsi" w:cstheme="minorHAnsi"/>
          <w:lang w:val="en"/>
        </w:rPr>
        <w:t>specially when there is always some people in groups that don't want to purchase the books. This made it easier for everyone to be on the right track in the class. [Edited for readability.]</w:t>
      </w:r>
    </w:p>
    <w:p w14:paraId="2569A2E6" w14:textId="15E80686"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67827D12" w14:textId="77777777" w:rsidR="00705B8E" w:rsidRDefault="00705B8E" w:rsidP="00C45872">
      <w:pPr>
        <w:ind w:left="720"/>
        <w:rPr>
          <w:b/>
          <w:sz w:val="24"/>
          <w:szCs w:val="24"/>
        </w:rPr>
      </w:pPr>
    </w:p>
    <w:p w14:paraId="1F6670A4" w14:textId="46AFF62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2269D609" w:rsidR="00C45872" w:rsidRPr="006E1E0A" w:rsidRDefault="00C45872" w:rsidP="00C45872">
      <w:pPr>
        <w:ind w:left="1080"/>
        <w:rPr>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r w:rsidR="006E1E0A">
        <w:rPr>
          <w:b/>
          <w:sz w:val="24"/>
          <w:szCs w:val="24"/>
        </w:rPr>
        <w:t xml:space="preserve"> </w:t>
      </w:r>
      <w:r w:rsidR="006E1E0A">
        <w:rPr>
          <w:sz w:val="24"/>
          <w:szCs w:val="24"/>
        </w:rPr>
        <w:t>Positive</w:t>
      </w:r>
    </w:p>
    <w:p w14:paraId="31FF61B6" w14:textId="5861C5F0"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6E1E0A">
        <w:rPr>
          <w:sz w:val="24"/>
          <w:szCs w:val="24"/>
        </w:rPr>
        <w:t>597</w:t>
      </w:r>
    </w:p>
    <w:p w14:paraId="37FBFE79" w14:textId="1A9DC03C"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006E1E0A">
        <w:rPr>
          <w:sz w:val="24"/>
          <w:szCs w:val="24"/>
        </w:rPr>
        <w:t>84</w:t>
      </w:r>
      <w:r w:rsidRPr="001D51FD">
        <w:rPr>
          <w:sz w:val="24"/>
          <w:szCs w:val="24"/>
        </w:rPr>
        <w:t xml:space="preserve">% of </w:t>
      </w:r>
      <w:r w:rsidR="0072031C">
        <w:rPr>
          <w:sz w:val="24"/>
          <w:szCs w:val="24"/>
        </w:rPr>
        <w:t>148</w:t>
      </w:r>
      <w:r w:rsidRPr="001D51FD">
        <w:rPr>
          <w:sz w:val="24"/>
          <w:szCs w:val="24"/>
        </w:rPr>
        <w:t xml:space="preserve"> </w:t>
      </w:r>
      <w:r w:rsidR="001D51FD" w:rsidRPr="001D51FD">
        <w:rPr>
          <w:sz w:val="24"/>
          <w:szCs w:val="24"/>
        </w:rPr>
        <w:t xml:space="preserve">number of </w:t>
      </w:r>
      <w:r w:rsidRPr="001D51FD">
        <w:rPr>
          <w:sz w:val="24"/>
          <w:szCs w:val="24"/>
        </w:rPr>
        <w:t>respondents</w:t>
      </w:r>
    </w:p>
    <w:p w14:paraId="665A9B89" w14:textId="72D6B8F7"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72031C">
        <w:rPr>
          <w:sz w:val="24"/>
          <w:szCs w:val="24"/>
        </w:rPr>
        <w:t>9</w:t>
      </w:r>
      <w:r w:rsidR="001D51FD" w:rsidRPr="001D51FD">
        <w:rPr>
          <w:sz w:val="24"/>
          <w:szCs w:val="24"/>
        </w:rPr>
        <w:t xml:space="preserve">% of </w:t>
      </w:r>
      <w:r w:rsidR="0072031C">
        <w:rPr>
          <w:sz w:val="24"/>
          <w:szCs w:val="24"/>
        </w:rPr>
        <w:t>148</w:t>
      </w:r>
      <w:r w:rsidR="001D51FD" w:rsidRPr="001D51FD">
        <w:rPr>
          <w:sz w:val="24"/>
          <w:szCs w:val="24"/>
        </w:rPr>
        <w:t xml:space="preserve"> number of respondents</w:t>
      </w:r>
    </w:p>
    <w:p w14:paraId="78E99B9B" w14:textId="017027B5" w:rsidR="00705B8E" w:rsidRPr="00705B8E" w:rsidRDefault="0073273B" w:rsidP="00705B8E">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72031C">
        <w:rPr>
          <w:sz w:val="24"/>
          <w:szCs w:val="24"/>
        </w:rPr>
        <w:t>5</w:t>
      </w:r>
      <w:r w:rsidR="001D51FD" w:rsidRPr="00684A25">
        <w:rPr>
          <w:sz w:val="24"/>
          <w:szCs w:val="24"/>
        </w:rPr>
        <w:t xml:space="preserve">% of </w:t>
      </w:r>
      <w:r w:rsidR="0072031C">
        <w:rPr>
          <w:sz w:val="24"/>
          <w:szCs w:val="24"/>
        </w:rPr>
        <w:t>148</w:t>
      </w:r>
      <w:r w:rsidR="001D51FD" w:rsidRPr="00684A25">
        <w:rPr>
          <w:sz w:val="24"/>
          <w:szCs w:val="24"/>
        </w:rPr>
        <w:t xml:space="preserve"> number of respondents</w:t>
      </w:r>
    </w:p>
    <w:p w14:paraId="7F5D0BB0" w14:textId="6B4F4A56" w:rsidR="001D51FD" w:rsidRDefault="001D51FD" w:rsidP="00705B8E">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lastRenderedPageBreak/>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4582936D" w14:textId="3A9BD0B1" w:rsidR="00BE7379" w:rsidRPr="00705B8E" w:rsidRDefault="00071B22" w:rsidP="00705B8E">
      <w:pPr>
        <w:pStyle w:val="ListParagraph"/>
        <w:numPr>
          <w:ilvl w:val="0"/>
          <w:numId w:val="16"/>
        </w:numPr>
        <w:ind w:left="1800"/>
        <w:rPr>
          <w:sz w:val="24"/>
          <w:szCs w:val="24"/>
        </w:rPr>
      </w:pPr>
      <w:r>
        <w:rPr>
          <w:sz w:val="24"/>
          <w:szCs w:val="24"/>
        </w:rPr>
        <w:t xml:space="preserve">Positive: Higher performance outcomes measured over </w:t>
      </w:r>
      <w:r w:rsidRPr="00071B22">
        <w:rPr>
          <w:sz w:val="24"/>
          <w:szCs w:val="24"/>
        </w:rPr>
        <w:t>previous semester(s)</w:t>
      </w:r>
    </w:p>
    <w:p w14:paraId="0DA9B466" w14:textId="285FCFDD"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2D814CB" w14:textId="647EFE57" w:rsidR="001E0EE3" w:rsidRPr="001E0EE3" w:rsidRDefault="00BE7379" w:rsidP="003F4D85">
      <w:pPr>
        <w:ind w:left="1080"/>
        <w:rPr>
          <w:sz w:val="24"/>
          <w:szCs w:val="24"/>
        </w:rPr>
      </w:pPr>
      <w:r>
        <w:rPr>
          <w:sz w:val="24"/>
          <w:szCs w:val="24"/>
        </w:rPr>
        <w:t>17</w:t>
      </w:r>
      <w:r w:rsidR="001E0EE3" w:rsidRPr="001E0EE3">
        <w:rPr>
          <w:sz w:val="24"/>
          <w:szCs w:val="24"/>
        </w:rPr>
        <w:t xml:space="preserve">% of students, out of a total </w:t>
      </w:r>
      <w:r>
        <w:rPr>
          <w:sz w:val="24"/>
          <w:szCs w:val="24"/>
        </w:rPr>
        <w:t>597</w:t>
      </w:r>
      <w:r w:rsidR="001E0EE3" w:rsidRPr="001E0EE3">
        <w:rPr>
          <w:sz w:val="24"/>
          <w:szCs w:val="24"/>
        </w:rPr>
        <w:t xml:space="preserve"> students affected, </w:t>
      </w:r>
      <w:r w:rsidR="003F4D85">
        <w:rPr>
          <w:sz w:val="24"/>
          <w:szCs w:val="24"/>
        </w:rPr>
        <w:t>d</w:t>
      </w:r>
      <w:r w:rsidR="001E0EE3" w:rsidRPr="001E0EE3">
        <w:rPr>
          <w:sz w:val="24"/>
          <w:szCs w:val="24"/>
        </w:rPr>
        <w:t xml:space="preserve">ropped/failed/withdrew from the course in the final semester of implementation. </w:t>
      </w:r>
    </w:p>
    <w:p w14:paraId="4D2A3C64" w14:textId="4ECF295A" w:rsidR="00142C30" w:rsidRPr="00705B8E" w:rsidRDefault="00071B22" w:rsidP="00705B8E">
      <w:pPr>
        <w:pStyle w:val="ListParagraph"/>
        <w:numPr>
          <w:ilvl w:val="0"/>
          <w:numId w:val="15"/>
        </w:numPr>
        <w:ind w:left="1800"/>
        <w:rPr>
          <w:sz w:val="24"/>
          <w:szCs w:val="24"/>
        </w:rPr>
      </w:pPr>
      <w:r>
        <w:rPr>
          <w:sz w:val="24"/>
          <w:szCs w:val="24"/>
        </w:rPr>
        <w:t xml:space="preserve">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r w:rsidR="00BE7379">
        <w:rPr>
          <w:sz w:val="24"/>
          <w:szCs w:val="24"/>
        </w:rPr>
        <w:t>.</w:t>
      </w:r>
    </w:p>
    <w:p w14:paraId="6836CF8D" w14:textId="2BA7530F" w:rsidR="0073273B" w:rsidRPr="00C45872" w:rsidRDefault="0033401E" w:rsidP="003F4D85">
      <w:pPr>
        <w:pStyle w:val="Heading2"/>
        <w:numPr>
          <w:ilvl w:val="1"/>
          <w:numId w:val="18"/>
        </w:numPr>
        <w:ind w:left="720"/>
      </w:pPr>
      <w:r>
        <w:t xml:space="preserve">Measures </w:t>
      </w:r>
      <w:r w:rsidR="0073273B" w:rsidRPr="00C45872">
        <w:t>Narrative</w:t>
      </w:r>
    </w:p>
    <w:p w14:paraId="4B8A66EF" w14:textId="73BD5B05" w:rsidR="000E07E1" w:rsidRDefault="00705B8E" w:rsidP="000E07E1">
      <w:pPr>
        <w:ind w:left="720"/>
        <w:rPr>
          <w:sz w:val="24"/>
          <w:szCs w:val="24"/>
        </w:rPr>
      </w:pPr>
      <w:r>
        <w:rPr>
          <w:sz w:val="24"/>
          <w:szCs w:val="24"/>
        </w:rPr>
        <w:t xml:space="preserve">The pandemic began while we were transforming our courses to no-cost. As we write this report, things have still not gone back to normal. Obviously, the pandemic had a dramatic impact on our courses. In our opinion, the effect is so massive that it is best not to interpret the outcomes of our transformations. Scientifically speaking, it is impossible – with the data available to us – to determine whether, how, and why our transformations, versus “pandemic life,” affected student outcomes. </w:t>
      </w:r>
      <w:r w:rsidR="000E07E1">
        <w:rPr>
          <w:sz w:val="24"/>
          <w:szCs w:val="24"/>
        </w:rPr>
        <w:t>Below is a summary table of the major outcomes.</w:t>
      </w:r>
      <w:r w:rsidR="00BC289F">
        <w:rPr>
          <w:sz w:val="24"/>
          <w:szCs w:val="24"/>
        </w:rPr>
        <w:t xml:space="preserve"> Additional information is found in the zip file that we included with this final report. </w:t>
      </w:r>
    </w:p>
    <w:p w14:paraId="67743809" w14:textId="4A1C6765" w:rsidR="000E07E1" w:rsidRPr="000E07E1" w:rsidRDefault="000E07E1" w:rsidP="000E07E1">
      <w:pPr>
        <w:spacing w:after="0"/>
        <w:ind w:left="1890"/>
        <w:rPr>
          <w:sz w:val="24"/>
          <w:szCs w:val="24"/>
        </w:rPr>
      </w:pPr>
      <w:r>
        <w:rPr>
          <w:b/>
          <w:sz w:val="24"/>
          <w:szCs w:val="24"/>
        </w:rPr>
        <w:t xml:space="preserve">Table 1. </w:t>
      </w:r>
      <w:r>
        <w:rPr>
          <w:sz w:val="24"/>
          <w:szCs w:val="24"/>
        </w:rPr>
        <w:t>Summary of Major Outcomes</w:t>
      </w:r>
    </w:p>
    <w:tbl>
      <w:tblPr>
        <w:tblStyle w:val="TableGrid"/>
        <w:tblW w:w="0" w:type="auto"/>
        <w:jc w:val="center"/>
        <w:tblLook w:val="04A0" w:firstRow="1" w:lastRow="0" w:firstColumn="1" w:lastColumn="0" w:noHBand="0" w:noVBand="1"/>
      </w:tblPr>
      <w:tblGrid>
        <w:gridCol w:w="1194"/>
        <w:gridCol w:w="933"/>
        <w:gridCol w:w="717"/>
        <w:gridCol w:w="583"/>
        <w:gridCol w:w="883"/>
        <w:gridCol w:w="717"/>
        <w:gridCol w:w="683"/>
      </w:tblGrid>
      <w:tr w:rsidR="000E07E1" w14:paraId="638B4164" w14:textId="77777777" w:rsidTr="00465B88">
        <w:trPr>
          <w:jc w:val="center"/>
        </w:trPr>
        <w:tc>
          <w:tcPr>
            <w:tcW w:w="988" w:type="dxa"/>
          </w:tcPr>
          <w:p w14:paraId="04DD0889" w14:textId="77777777" w:rsidR="000E07E1" w:rsidRDefault="000E07E1" w:rsidP="000E07E1"/>
        </w:tc>
        <w:tc>
          <w:tcPr>
            <w:tcW w:w="2183" w:type="dxa"/>
            <w:gridSpan w:val="3"/>
          </w:tcPr>
          <w:p w14:paraId="67FE9AA8" w14:textId="49949FFB" w:rsidR="000E07E1" w:rsidRPr="000E07E1" w:rsidRDefault="000E07E1" w:rsidP="000E07E1">
            <w:pPr>
              <w:rPr>
                <w:b/>
              </w:rPr>
            </w:pPr>
            <w:r w:rsidRPr="000E07E1">
              <w:rPr>
                <w:b/>
              </w:rPr>
              <w:t>Pre-Transformation</w:t>
            </w:r>
          </w:p>
        </w:tc>
        <w:tc>
          <w:tcPr>
            <w:tcW w:w="2283" w:type="dxa"/>
            <w:gridSpan w:val="3"/>
          </w:tcPr>
          <w:p w14:paraId="1F142990" w14:textId="62C883FB" w:rsidR="000E07E1" w:rsidRPr="000E07E1" w:rsidRDefault="000E07E1" w:rsidP="000E07E1">
            <w:pPr>
              <w:rPr>
                <w:b/>
              </w:rPr>
            </w:pPr>
            <w:r w:rsidRPr="000E07E1">
              <w:rPr>
                <w:b/>
              </w:rPr>
              <w:t>Post-Transformation</w:t>
            </w:r>
          </w:p>
        </w:tc>
      </w:tr>
      <w:tr w:rsidR="00BE7379" w14:paraId="649F047B" w14:textId="77777777" w:rsidTr="000D0F68">
        <w:trPr>
          <w:jc w:val="center"/>
        </w:trPr>
        <w:tc>
          <w:tcPr>
            <w:tcW w:w="988" w:type="dxa"/>
          </w:tcPr>
          <w:p w14:paraId="077D688D" w14:textId="77777777" w:rsidR="00BE7379" w:rsidRDefault="00BE7379" w:rsidP="000E07E1"/>
        </w:tc>
        <w:tc>
          <w:tcPr>
            <w:tcW w:w="883" w:type="dxa"/>
          </w:tcPr>
          <w:p w14:paraId="7120AFCD" w14:textId="77777777" w:rsidR="00BE7379" w:rsidRDefault="00BE7379" w:rsidP="000E07E1">
            <w:r>
              <w:t>DWF</w:t>
            </w:r>
          </w:p>
        </w:tc>
        <w:tc>
          <w:tcPr>
            <w:tcW w:w="717" w:type="dxa"/>
          </w:tcPr>
          <w:p w14:paraId="0E054FB9" w14:textId="77777777" w:rsidR="00BE7379" w:rsidRDefault="00BE7379" w:rsidP="000E07E1">
            <w:r>
              <w:t>GPA</w:t>
            </w:r>
          </w:p>
        </w:tc>
        <w:tc>
          <w:tcPr>
            <w:tcW w:w="583" w:type="dxa"/>
          </w:tcPr>
          <w:p w14:paraId="7CD0369C" w14:textId="77777777" w:rsidR="00BE7379" w:rsidRDefault="00BE7379" w:rsidP="000E07E1">
            <w:r>
              <w:t>W</w:t>
            </w:r>
          </w:p>
        </w:tc>
        <w:tc>
          <w:tcPr>
            <w:tcW w:w="883" w:type="dxa"/>
          </w:tcPr>
          <w:p w14:paraId="5ACBE6AC" w14:textId="77777777" w:rsidR="00BE7379" w:rsidRDefault="00BE7379" w:rsidP="000E07E1">
            <w:r>
              <w:t>DWF</w:t>
            </w:r>
          </w:p>
        </w:tc>
        <w:tc>
          <w:tcPr>
            <w:tcW w:w="717" w:type="dxa"/>
          </w:tcPr>
          <w:p w14:paraId="5B5D32D1" w14:textId="77777777" w:rsidR="00BE7379" w:rsidRDefault="00BE7379" w:rsidP="000E07E1">
            <w:r>
              <w:t>GPA</w:t>
            </w:r>
          </w:p>
        </w:tc>
        <w:tc>
          <w:tcPr>
            <w:tcW w:w="683" w:type="dxa"/>
          </w:tcPr>
          <w:p w14:paraId="21737011" w14:textId="77777777" w:rsidR="00BE7379" w:rsidRDefault="00BE7379" w:rsidP="000E07E1">
            <w:r>
              <w:t>W</w:t>
            </w:r>
          </w:p>
        </w:tc>
      </w:tr>
      <w:tr w:rsidR="00BE7379" w14:paraId="5C669EFC" w14:textId="77777777" w:rsidTr="000D0F68">
        <w:trPr>
          <w:jc w:val="center"/>
        </w:trPr>
        <w:tc>
          <w:tcPr>
            <w:tcW w:w="988" w:type="dxa"/>
          </w:tcPr>
          <w:p w14:paraId="437BC763" w14:textId="77777777" w:rsidR="00BE7379" w:rsidRDefault="00BE7379" w:rsidP="000D0F68">
            <w:r>
              <w:t>2110</w:t>
            </w:r>
          </w:p>
        </w:tc>
        <w:tc>
          <w:tcPr>
            <w:tcW w:w="883" w:type="dxa"/>
          </w:tcPr>
          <w:p w14:paraId="7E9CFF99" w14:textId="77777777" w:rsidR="00BE7379" w:rsidRDefault="00BE7379" w:rsidP="000D0F68">
            <w:r>
              <w:t>6.7%</w:t>
            </w:r>
          </w:p>
        </w:tc>
        <w:tc>
          <w:tcPr>
            <w:tcW w:w="717" w:type="dxa"/>
          </w:tcPr>
          <w:p w14:paraId="68067A3B" w14:textId="77777777" w:rsidR="00BE7379" w:rsidRDefault="00BE7379" w:rsidP="000D0F68">
            <w:r>
              <w:t>2.88</w:t>
            </w:r>
          </w:p>
        </w:tc>
        <w:tc>
          <w:tcPr>
            <w:tcW w:w="583" w:type="dxa"/>
          </w:tcPr>
          <w:p w14:paraId="5B8C07C4" w14:textId="77777777" w:rsidR="00BE7379" w:rsidRDefault="00BE7379" w:rsidP="000D0F68">
            <w:r>
              <w:t>2%</w:t>
            </w:r>
          </w:p>
        </w:tc>
        <w:tc>
          <w:tcPr>
            <w:tcW w:w="883" w:type="dxa"/>
          </w:tcPr>
          <w:p w14:paraId="2612DE58" w14:textId="77777777" w:rsidR="00BE7379" w:rsidRDefault="00BE7379" w:rsidP="000D0F68">
            <w:r>
              <w:t xml:space="preserve">5.1% </w:t>
            </w:r>
          </w:p>
        </w:tc>
        <w:tc>
          <w:tcPr>
            <w:tcW w:w="717" w:type="dxa"/>
          </w:tcPr>
          <w:p w14:paraId="3CE89E46" w14:textId="77777777" w:rsidR="00BE7379" w:rsidRDefault="00BE7379" w:rsidP="000D0F68">
            <w:r>
              <w:t>3.54</w:t>
            </w:r>
          </w:p>
        </w:tc>
        <w:tc>
          <w:tcPr>
            <w:tcW w:w="683" w:type="dxa"/>
          </w:tcPr>
          <w:p w14:paraId="430CC822" w14:textId="77777777" w:rsidR="00BE7379" w:rsidRDefault="00BE7379" w:rsidP="000D0F68">
            <w:r>
              <w:t>2%</w:t>
            </w:r>
          </w:p>
        </w:tc>
      </w:tr>
      <w:tr w:rsidR="00BE7379" w:rsidRPr="00BE7379" w14:paraId="6AA4EEA0" w14:textId="77777777" w:rsidTr="000D0F68">
        <w:trPr>
          <w:jc w:val="center"/>
        </w:trPr>
        <w:tc>
          <w:tcPr>
            <w:tcW w:w="988" w:type="dxa"/>
          </w:tcPr>
          <w:p w14:paraId="67EE1332" w14:textId="77777777" w:rsidR="00BE7379" w:rsidRDefault="00BE7379" w:rsidP="000D0F68">
            <w:r>
              <w:t xml:space="preserve">2200 </w:t>
            </w:r>
          </w:p>
        </w:tc>
        <w:tc>
          <w:tcPr>
            <w:tcW w:w="883" w:type="dxa"/>
          </w:tcPr>
          <w:p w14:paraId="3363435A" w14:textId="77777777" w:rsidR="00BE7379" w:rsidRDefault="00BE7379" w:rsidP="000D0F68">
            <w:r>
              <w:t xml:space="preserve">16.8% </w:t>
            </w:r>
          </w:p>
        </w:tc>
        <w:tc>
          <w:tcPr>
            <w:tcW w:w="717" w:type="dxa"/>
          </w:tcPr>
          <w:p w14:paraId="021B938A" w14:textId="77777777" w:rsidR="00BE7379" w:rsidRDefault="00BE7379" w:rsidP="000D0F68">
            <w:r>
              <w:t>3.10</w:t>
            </w:r>
          </w:p>
        </w:tc>
        <w:tc>
          <w:tcPr>
            <w:tcW w:w="583" w:type="dxa"/>
          </w:tcPr>
          <w:p w14:paraId="76F7BF50" w14:textId="77777777" w:rsidR="00BE7379" w:rsidRDefault="00BE7379" w:rsidP="000D0F68">
            <w:r>
              <w:t>7%</w:t>
            </w:r>
          </w:p>
        </w:tc>
        <w:tc>
          <w:tcPr>
            <w:tcW w:w="883" w:type="dxa"/>
          </w:tcPr>
          <w:p w14:paraId="19736A63" w14:textId="77777777" w:rsidR="00BE7379" w:rsidRPr="00BE7379" w:rsidRDefault="00BE7379" w:rsidP="000D0F68">
            <w:r w:rsidRPr="00BE7379">
              <w:t>37.9%</w:t>
            </w:r>
          </w:p>
        </w:tc>
        <w:tc>
          <w:tcPr>
            <w:tcW w:w="717" w:type="dxa"/>
          </w:tcPr>
          <w:p w14:paraId="7BC507FE" w14:textId="77777777" w:rsidR="00BE7379" w:rsidRPr="00BE7379" w:rsidRDefault="00BE7379" w:rsidP="000D0F68">
            <w:r w:rsidRPr="00BE7379">
              <w:t>3.07</w:t>
            </w:r>
          </w:p>
        </w:tc>
        <w:tc>
          <w:tcPr>
            <w:tcW w:w="683" w:type="dxa"/>
          </w:tcPr>
          <w:p w14:paraId="50D085AC" w14:textId="77777777" w:rsidR="00BE7379" w:rsidRPr="00BE7379" w:rsidRDefault="00BE7379" w:rsidP="000D0F68">
            <w:r w:rsidRPr="00BE7379">
              <w:t>25%</w:t>
            </w:r>
          </w:p>
        </w:tc>
      </w:tr>
      <w:tr w:rsidR="00BE7379" w:rsidRPr="00BE7379" w14:paraId="344E2315" w14:textId="77777777" w:rsidTr="000D0F68">
        <w:trPr>
          <w:jc w:val="center"/>
        </w:trPr>
        <w:tc>
          <w:tcPr>
            <w:tcW w:w="988" w:type="dxa"/>
          </w:tcPr>
          <w:p w14:paraId="5463537B" w14:textId="77777777" w:rsidR="00BE7379" w:rsidRDefault="00BE7379" w:rsidP="000D0F68">
            <w:r>
              <w:t>3060</w:t>
            </w:r>
          </w:p>
        </w:tc>
        <w:tc>
          <w:tcPr>
            <w:tcW w:w="883" w:type="dxa"/>
          </w:tcPr>
          <w:p w14:paraId="018669FB" w14:textId="77777777" w:rsidR="00BE7379" w:rsidRDefault="00BE7379" w:rsidP="000D0F68">
            <w:r>
              <w:t xml:space="preserve">29.7% </w:t>
            </w:r>
          </w:p>
        </w:tc>
        <w:tc>
          <w:tcPr>
            <w:tcW w:w="717" w:type="dxa"/>
          </w:tcPr>
          <w:p w14:paraId="1C9C82ED" w14:textId="77777777" w:rsidR="00BE7379" w:rsidRDefault="00BE7379" w:rsidP="000D0F68">
            <w:r>
              <w:t>2.11</w:t>
            </w:r>
          </w:p>
        </w:tc>
        <w:tc>
          <w:tcPr>
            <w:tcW w:w="583" w:type="dxa"/>
          </w:tcPr>
          <w:p w14:paraId="3B576F2D" w14:textId="77777777" w:rsidR="00BE7379" w:rsidRDefault="00BE7379" w:rsidP="000D0F68">
            <w:r>
              <w:t>0%</w:t>
            </w:r>
          </w:p>
        </w:tc>
        <w:tc>
          <w:tcPr>
            <w:tcW w:w="883" w:type="dxa"/>
          </w:tcPr>
          <w:p w14:paraId="2450F5B7" w14:textId="77777777" w:rsidR="00BE7379" w:rsidRPr="00BE7379" w:rsidRDefault="00BE7379" w:rsidP="000D0F68">
            <w:r w:rsidRPr="00BE7379">
              <w:t xml:space="preserve">20.8% </w:t>
            </w:r>
          </w:p>
        </w:tc>
        <w:tc>
          <w:tcPr>
            <w:tcW w:w="717" w:type="dxa"/>
          </w:tcPr>
          <w:p w14:paraId="50EF3FE7" w14:textId="77777777" w:rsidR="00BE7379" w:rsidRPr="00BE7379" w:rsidRDefault="00BE7379" w:rsidP="000D0F68">
            <w:r w:rsidRPr="00BE7379">
              <w:t>2.96</w:t>
            </w:r>
          </w:p>
        </w:tc>
        <w:tc>
          <w:tcPr>
            <w:tcW w:w="683" w:type="dxa"/>
          </w:tcPr>
          <w:p w14:paraId="05735345" w14:textId="77777777" w:rsidR="00BE7379" w:rsidRPr="00BE7379" w:rsidRDefault="00BE7379" w:rsidP="000D0F68">
            <w:r w:rsidRPr="00BE7379">
              <w:t>13%</w:t>
            </w:r>
          </w:p>
        </w:tc>
      </w:tr>
      <w:tr w:rsidR="00BE7379" w:rsidRPr="00BE7379" w14:paraId="7D4EF5DC" w14:textId="77777777" w:rsidTr="000D0F68">
        <w:trPr>
          <w:jc w:val="center"/>
        </w:trPr>
        <w:tc>
          <w:tcPr>
            <w:tcW w:w="988" w:type="dxa"/>
          </w:tcPr>
          <w:p w14:paraId="34A4AC21" w14:textId="77777777" w:rsidR="00BE7379" w:rsidRDefault="00BE7379" w:rsidP="000D0F68">
            <w:r>
              <w:t>3610</w:t>
            </w:r>
          </w:p>
        </w:tc>
        <w:tc>
          <w:tcPr>
            <w:tcW w:w="883" w:type="dxa"/>
          </w:tcPr>
          <w:p w14:paraId="2C6C3D1D" w14:textId="77777777" w:rsidR="00BE7379" w:rsidRDefault="00BE7379" w:rsidP="000D0F68">
            <w:r>
              <w:t>26.5%</w:t>
            </w:r>
          </w:p>
        </w:tc>
        <w:tc>
          <w:tcPr>
            <w:tcW w:w="717" w:type="dxa"/>
          </w:tcPr>
          <w:p w14:paraId="4F71542E" w14:textId="77777777" w:rsidR="00BE7379" w:rsidRDefault="00BE7379" w:rsidP="000D0F68">
            <w:r>
              <w:t>2.30</w:t>
            </w:r>
          </w:p>
        </w:tc>
        <w:tc>
          <w:tcPr>
            <w:tcW w:w="583" w:type="dxa"/>
          </w:tcPr>
          <w:p w14:paraId="49B74FF6" w14:textId="77777777" w:rsidR="00BE7379" w:rsidRDefault="00BE7379" w:rsidP="000D0F68">
            <w:r>
              <w:t>3%</w:t>
            </w:r>
          </w:p>
        </w:tc>
        <w:tc>
          <w:tcPr>
            <w:tcW w:w="883" w:type="dxa"/>
          </w:tcPr>
          <w:p w14:paraId="188375BF" w14:textId="77777777" w:rsidR="00BE7379" w:rsidRPr="00BE7379" w:rsidRDefault="00BE7379" w:rsidP="000D0F68">
            <w:r w:rsidRPr="00BE7379">
              <w:t xml:space="preserve">31.0% </w:t>
            </w:r>
          </w:p>
        </w:tc>
        <w:tc>
          <w:tcPr>
            <w:tcW w:w="717" w:type="dxa"/>
          </w:tcPr>
          <w:p w14:paraId="0648F103" w14:textId="77777777" w:rsidR="00BE7379" w:rsidRPr="00BE7379" w:rsidRDefault="00BE7379" w:rsidP="000D0F68">
            <w:r w:rsidRPr="00BE7379">
              <w:t>3.00</w:t>
            </w:r>
          </w:p>
        </w:tc>
        <w:tc>
          <w:tcPr>
            <w:tcW w:w="683" w:type="dxa"/>
          </w:tcPr>
          <w:p w14:paraId="3752C4A6" w14:textId="77777777" w:rsidR="00BE7379" w:rsidRPr="00BE7379" w:rsidRDefault="00BE7379" w:rsidP="000D0F68">
            <w:r w:rsidRPr="00BE7379">
              <w:t>24%</w:t>
            </w:r>
          </w:p>
        </w:tc>
      </w:tr>
      <w:tr w:rsidR="000E07E1" w:rsidRPr="00BE7379" w14:paraId="6599DF25" w14:textId="77777777" w:rsidTr="000D0F68">
        <w:trPr>
          <w:jc w:val="center"/>
        </w:trPr>
        <w:tc>
          <w:tcPr>
            <w:tcW w:w="988" w:type="dxa"/>
          </w:tcPr>
          <w:p w14:paraId="0FAA955A" w14:textId="46B143A8" w:rsidR="000E07E1" w:rsidRDefault="000E07E1" w:rsidP="000D0F68">
            <w:r>
              <w:t>Unweighted average</w:t>
            </w:r>
          </w:p>
        </w:tc>
        <w:tc>
          <w:tcPr>
            <w:tcW w:w="883" w:type="dxa"/>
          </w:tcPr>
          <w:p w14:paraId="1E30464F" w14:textId="6FFEB0E1" w:rsidR="000E07E1" w:rsidRDefault="000E07E1" w:rsidP="000D0F68">
            <w:r>
              <w:t>19.925%</w:t>
            </w:r>
          </w:p>
        </w:tc>
        <w:tc>
          <w:tcPr>
            <w:tcW w:w="717" w:type="dxa"/>
          </w:tcPr>
          <w:p w14:paraId="3D060969" w14:textId="1DEEAA1D" w:rsidR="000E07E1" w:rsidRDefault="000E07E1" w:rsidP="000D0F68">
            <w:r>
              <w:t>2.59</w:t>
            </w:r>
          </w:p>
        </w:tc>
        <w:tc>
          <w:tcPr>
            <w:tcW w:w="583" w:type="dxa"/>
          </w:tcPr>
          <w:p w14:paraId="2BA3CA47" w14:textId="01877F4B" w:rsidR="000E07E1" w:rsidRDefault="000E07E1" w:rsidP="000D0F68">
            <w:r>
              <w:t>3%</w:t>
            </w:r>
          </w:p>
        </w:tc>
        <w:tc>
          <w:tcPr>
            <w:tcW w:w="883" w:type="dxa"/>
          </w:tcPr>
          <w:p w14:paraId="4593C40F" w14:textId="7B1A7A59" w:rsidR="000E07E1" w:rsidRPr="00BE7379" w:rsidRDefault="000E07E1" w:rsidP="000D0F68">
            <w:r>
              <w:t>23.7%</w:t>
            </w:r>
          </w:p>
        </w:tc>
        <w:tc>
          <w:tcPr>
            <w:tcW w:w="717" w:type="dxa"/>
          </w:tcPr>
          <w:p w14:paraId="50D54B1D" w14:textId="41B569C2" w:rsidR="000E07E1" w:rsidRPr="00BE7379" w:rsidRDefault="000E07E1" w:rsidP="000D0F68">
            <w:r>
              <w:t>3.14</w:t>
            </w:r>
          </w:p>
        </w:tc>
        <w:tc>
          <w:tcPr>
            <w:tcW w:w="683" w:type="dxa"/>
          </w:tcPr>
          <w:p w14:paraId="21AF854F" w14:textId="11A8E712" w:rsidR="000E07E1" w:rsidRPr="00BE7379" w:rsidRDefault="000E07E1" w:rsidP="000D0F68">
            <w:r>
              <w:t>4%</w:t>
            </w:r>
          </w:p>
        </w:tc>
      </w:tr>
    </w:tbl>
    <w:p w14:paraId="2107F97D" w14:textId="332C9E74" w:rsidR="00F70B70" w:rsidRPr="004F2656" w:rsidRDefault="00F70B70" w:rsidP="003F4D85">
      <w:pPr>
        <w:pStyle w:val="Heading1"/>
        <w:numPr>
          <w:ilvl w:val="0"/>
          <w:numId w:val="18"/>
        </w:numPr>
        <w:ind w:left="360"/>
      </w:pPr>
      <w:r w:rsidRPr="004F2656">
        <w:t>Sustainability Plan</w:t>
      </w:r>
    </w:p>
    <w:p w14:paraId="3E9443E2" w14:textId="0CFD468A" w:rsidR="001137DB" w:rsidRDefault="001137DB" w:rsidP="001137DB">
      <w:pPr>
        <w:ind w:left="360"/>
        <w:rPr>
          <w:sz w:val="24"/>
          <w:szCs w:val="24"/>
        </w:rPr>
      </w:pPr>
      <w:r>
        <w:rPr>
          <w:sz w:val="24"/>
          <w:szCs w:val="24"/>
        </w:rPr>
        <w:t>To explain our sustainability plan, we should address how the pandemic altered the plan in our application. Pre-pandemic, the transformation would have resulted in all of our department’s required courses being no-cost. By “all,” we mean every section. Now, there is a no-cost section of each required course</w:t>
      </w:r>
      <w:r w:rsidR="00956E61">
        <w:rPr>
          <w:sz w:val="24"/>
          <w:szCs w:val="24"/>
        </w:rPr>
        <w:t xml:space="preserve"> (which is great!)</w:t>
      </w:r>
      <w:r>
        <w:rPr>
          <w:sz w:val="24"/>
          <w:szCs w:val="24"/>
        </w:rPr>
        <w:t xml:space="preserve">, but not all sections are no-cost. The pandemic stopped a general rollout of the no-cost versions for several reasons, including an unexpected rise in emergency work (e.g., moving seated courses to online) and </w:t>
      </w:r>
      <w:r>
        <w:rPr>
          <w:sz w:val="24"/>
          <w:szCs w:val="24"/>
        </w:rPr>
        <w:lastRenderedPageBreak/>
        <w:t xml:space="preserve">preventing our team members from meeting with other instructors (e.g., PhD students, adjuncts) to familiarize them with the new materials. </w:t>
      </w:r>
    </w:p>
    <w:p w14:paraId="6580DD3E" w14:textId="1BB48F15" w:rsidR="00956E61" w:rsidRPr="001137DB" w:rsidRDefault="00956E61" w:rsidP="00956E61">
      <w:pPr>
        <w:ind w:left="360"/>
        <w:rPr>
          <w:rFonts w:asciiTheme="majorHAnsi" w:eastAsiaTheme="majorEastAsia" w:hAnsiTheme="majorHAnsi" w:cstheme="majorBidi"/>
          <w:color w:val="2E74B5" w:themeColor="accent1" w:themeShade="BF"/>
          <w:sz w:val="24"/>
          <w:szCs w:val="24"/>
        </w:rPr>
      </w:pPr>
      <w:r>
        <w:rPr>
          <w:sz w:val="24"/>
          <w:szCs w:val="24"/>
        </w:rPr>
        <w:t xml:space="preserve">Once the university goes back to pre-pandemic life, we will initiate the general rollout of the courses’ no-cost versions. This will be part of our department’s standardizations efforts, not mentioned in this document until here. </w:t>
      </w:r>
      <w:r w:rsidRPr="001137DB">
        <w:rPr>
          <w:sz w:val="24"/>
          <w:szCs w:val="24"/>
        </w:rPr>
        <w:t xml:space="preserve">It consists of a “blueprint” for each course that (1) shows when its no-cost version was, or will be, most recently created and delivered; (2) schedules, within two years, at least one faculty member and PhD student to update and otherwise improve the course; and, (3) </w:t>
      </w:r>
      <w:r w:rsidRPr="001137DB">
        <w:rPr>
          <w:color w:val="333333"/>
          <w:sz w:val="24"/>
          <w:szCs w:val="24"/>
          <w:shd w:val="clear" w:color="auto" w:fill="FFFFFF"/>
        </w:rPr>
        <w:t>schedules, within the next year, the updated version to be delivered</w:t>
      </w:r>
      <w:r w:rsidRPr="001137DB">
        <w:rPr>
          <w:sz w:val="24"/>
          <w:szCs w:val="24"/>
        </w:rPr>
        <w:t>. The process then repeats every three years. This sustainability plan ensures the maintenance and updating of our course materials.</w:t>
      </w:r>
    </w:p>
    <w:p w14:paraId="5D2930F4" w14:textId="6ED25791"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39B2D7B" w14:textId="551AC8E6" w:rsidR="007D5301" w:rsidRPr="00FC093B" w:rsidRDefault="00FC093B" w:rsidP="00FC093B">
      <w:pPr>
        <w:ind w:left="360"/>
        <w:rPr>
          <w:sz w:val="24"/>
          <w:szCs w:val="24"/>
        </w:rPr>
      </w:pPr>
      <w:r>
        <w:rPr>
          <w:sz w:val="24"/>
          <w:szCs w:val="24"/>
        </w:rPr>
        <w:t>This was a great experience for the team. ALG’s financial support, as you know, is crucial to motivating “faculty on the fence” to give transformations a try. All team members, with the exception of Scott Jacques, were new to the process. All of the transformations were successful; i.e., not only were the courses made no-cost, but the course goals and objectives were met too. All of us, therefore, are now certain that we are able to make our courses no-cost. All of us, moreover, are committed to making future preps no-cost. Beyond us, this learning experience has a tangible effect on our department colleagues. There is a vicarious effect. Now, about half of our faculty have personal experience in ALG-funded projects. Others of us have unilaterally made their courses no-cost. Soon, we believe, the entire faculty will have done so. And thus, eventually, the entire curriculum will be no-cost.</w:t>
      </w:r>
      <w:r w:rsidR="001137DB">
        <w:rPr>
          <w:sz w:val="24"/>
          <w:szCs w:val="24"/>
        </w:rPr>
        <w:t xml:space="preserve"> (See prior section for further details.)</w:t>
      </w:r>
      <w:r>
        <w:rPr>
          <w:sz w:val="24"/>
          <w:szCs w:val="24"/>
        </w:rPr>
        <w:t xml:space="preserve"> </w:t>
      </w:r>
    </w:p>
    <w:p w14:paraId="68427203" w14:textId="34B29F6F"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63AD3840" w14:textId="59221E9D" w:rsidR="00956E61" w:rsidRDefault="007D5301" w:rsidP="00FC093B">
      <w:pPr>
        <w:ind w:left="360"/>
        <w:rPr>
          <w:rFonts w:asciiTheme="majorHAnsi" w:eastAsiaTheme="majorEastAsia" w:hAnsiTheme="majorHAnsi" w:cstheme="majorBidi"/>
          <w:color w:val="2E74B5" w:themeColor="accent1" w:themeShade="BF"/>
          <w:sz w:val="32"/>
          <w:szCs w:val="32"/>
        </w:rPr>
      </w:pPr>
      <w:r>
        <w:rPr>
          <w:sz w:val="24"/>
          <w:szCs w:val="24"/>
        </w:rPr>
        <w:t xml:space="preserve">The team, frankly, is still in “crisis mode” with the pandemic ongoing. When things settle down, we will do a college- or university-level “Town Hall” in which we describe our perceptions and ideas going into the transformation; during it; and after. The purpose of this Town Hall will be to spur transformations by our colleagues. </w:t>
      </w:r>
      <w:r w:rsidR="00956E61">
        <w:rPr>
          <w:sz w:val="24"/>
          <w:szCs w:val="24"/>
        </w:rPr>
        <w:t xml:space="preserve">Please note that due to the pandemic, Scott Jacques cannot do as promised in the application: </w:t>
      </w:r>
      <w:r w:rsidR="00956E61" w:rsidRPr="001137DB">
        <w:rPr>
          <w:sz w:val="24"/>
          <w:szCs w:val="24"/>
        </w:rPr>
        <w:t>at the 2021 Annual Meeting of the Amer</w:t>
      </w:r>
      <w:r w:rsidR="00956E61">
        <w:rPr>
          <w:sz w:val="24"/>
          <w:szCs w:val="24"/>
        </w:rPr>
        <w:t>ican Criminal Justice Sciences</w:t>
      </w:r>
      <w:r w:rsidR="00956E61" w:rsidRPr="001137DB">
        <w:rPr>
          <w:sz w:val="24"/>
          <w:szCs w:val="24"/>
        </w:rPr>
        <w:t>, present the why, how, and effect of the department’s transformation.</w:t>
      </w:r>
      <w:r w:rsidR="00956E61">
        <w:rPr>
          <w:sz w:val="24"/>
          <w:szCs w:val="24"/>
        </w:rPr>
        <w:t xml:space="preserve"> The meeting was cancelled.</w:t>
      </w:r>
    </w:p>
    <w:p w14:paraId="3AAF13AA" w14:textId="4318DFCA"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1454BCAC" w:rsidR="00CB083C" w:rsidRPr="0067539C" w:rsidRDefault="0067539C" w:rsidP="003F4D85">
      <w:pPr>
        <w:ind w:left="360"/>
        <w:rPr>
          <w:b/>
          <w:sz w:val="24"/>
          <w:szCs w:val="24"/>
        </w:rPr>
      </w:pPr>
      <w:r>
        <w:rPr>
          <w:sz w:val="24"/>
          <w:szCs w:val="24"/>
        </w:rPr>
        <w:t xml:space="preserve">Because of </w:t>
      </w:r>
      <w:r w:rsidR="0048103B">
        <w:rPr>
          <w:sz w:val="24"/>
          <w:szCs w:val="24"/>
        </w:rPr>
        <w:t>the pandemic</w:t>
      </w:r>
      <w:r>
        <w:rPr>
          <w:sz w:val="24"/>
          <w:szCs w:val="24"/>
        </w:rPr>
        <w:t xml:space="preserve">, we have not provided a group photo. </w:t>
      </w:r>
    </w:p>
    <w:sectPr w:rsidR="00CB083C" w:rsidRPr="00675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50BE9"/>
    <w:multiLevelType w:val="hybridMultilevel"/>
    <w:tmpl w:val="2B3014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13"/>
  </w:num>
  <w:num w:numId="5">
    <w:abstractNumId w:val="5"/>
  </w:num>
  <w:num w:numId="6">
    <w:abstractNumId w:val="6"/>
  </w:num>
  <w:num w:numId="7">
    <w:abstractNumId w:val="3"/>
  </w:num>
  <w:num w:numId="8">
    <w:abstractNumId w:val="7"/>
  </w:num>
  <w:num w:numId="9">
    <w:abstractNumId w:val="2"/>
  </w:num>
  <w:num w:numId="10">
    <w:abstractNumId w:val="11"/>
  </w:num>
  <w:num w:numId="11">
    <w:abstractNumId w:val="1"/>
  </w:num>
  <w:num w:numId="12">
    <w:abstractNumId w:val="12"/>
  </w:num>
  <w:num w:numId="13">
    <w:abstractNumId w:val="14"/>
  </w:num>
  <w:num w:numId="14">
    <w:abstractNumId w:val="10"/>
  </w:num>
  <w:num w:numId="15">
    <w:abstractNumId w:val="4"/>
  </w:num>
  <w:num w:numId="16">
    <w:abstractNumId w:val="18"/>
  </w:num>
  <w:num w:numId="17">
    <w:abstractNumId w:val="8"/>
  </w:num>
  <w:num w:numId="18">
    <w:abstractNumId w:val="19"/>
  </w:num>
  <w:num w:numId="19">
    <w:abstractNumId w:val="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44DF3"/>
    <w:rsid w:val="00050E52"/>
    <w:rsid w:val="00071B22"/>
    <w:rsid w:val="00075E05"/>
    <w:rsid w:val="00082546"/>
    <w:rsid w:val="000A2DB0"/>
    <w:rsid w:val="000E07E1"/>
    <w:rsid w:val="00101A24"/>
    <w:rsid w:val="001137DB"/>
    <w:rsid w:val="001370BB"/>
    <w:rsid w:val="00142C30"/>
    <w:rsid w:val="00190A51"/>
    <w:rsid w:val="001A218C"/>
    <w:rsid w:val="001B2107"/>
    <w:rsid w:val="001D51FD"/>
    <w:rsid w:val="001E0EE3"/>
    <w:rsid w:val="001F4532"/>
    <w:rsid w:val="00220876"/>
    <w:rsid w:val="00240544"/>
    <w:rsid w:val="00285B86"/>
    <w:rsid w:val="003038A8"/>
    <w:rsid w:val="0033401E"/>
    <w:rsid w:val="00346044"/>
    <w:rsid w:val="00366769"/>
    <w:rsid w:val="003E1BCB"/>
    <w:rsid w:val="003F4D85"/>
    <w:rsid w:val="00471C68"/>
    <w:rsid w:val="0048103B"/>
    <w:rsid w:val="0048459F"/>
    <w:rsid w:val="004F2656"/>
    <w:rsid w:val="005212A0"/>
    <w:rsid w:val="005C11E8"/>
    <w:rsid w:val="00630263"/>
    <w:rsid w:val="0067539C"/>
    <w:rsid w:val="00684A25"/>
    <w:rsid w:val="00687254"/>
    <w:rsid w:val="006A36A9"/>
    <w:rsid w:val="006E1E0A"/>
    <w:rsid w:val="00705B8E"/>
    <w:rsid w:val="0072031C"/>
    <w:rsid w:val="0073273B"/>
    <w:rsid w:val="00772C9F"/>
    <w:rsid w:val="007D5301"/>
    <w:rsid w:val="00811187"/>
    <w:rsid w:val="00871BC4"/>
    <w:rsid w:val="00945780"/>
    <w:rsid w:val="00956E61"/>
    <w:rsid w:val="0097575D"/>
    <w:rsid w:val="00987DD6"/>
    <w:rsid w:val="00A06E45"/>
    <w:rsid w:val="00AF4890"/>
    <w:rsid w:val="00B516BC"/>
    <w:rsid w:val="00B90CC8"/>
    <w:rsid w:val="00BC289F"/>
    <w:rsid w:val="00BD653D"/>
    <w:rsid w:val="00BE7379"/>
    <w:rsid w:val="00BF3C8A"/>
    <w:rsid w:val="00C45872"/>
    <w:rsid w:val="00C65741"/>
    <w:rsid w:val="00C66162"/>
    <w:rsid w:val="00C749E5"/>
    <w:rsid w:val="00C807D1"/>
    <w:rsid w:val="00C80819"/>
    <w:rsid w:val="00C96BCC"/>
    <w:rsid w:val="00CB083C"/>
    <w:rsid w:val="00D11976"/>
    <w:rsid w:val="00DC2BFF"/>
    <w:rsid w:val="00DD3803"/>
    <w:rsid w:val="00DD5245"/>
    <w:rsid w:val="00DF79E1"/>
    <w:rsid w:val="00E167BE"/>
    <w:rsid w:val="00E34FAA"/>
    <w:rsid w:val="00EE35AB"/>
    <w:rsid w:val="00EE7C7E"/>
    <w:rsid w:val="00F01364"/>
    <w:rsid w:val="00F6782A"/>
    <w:rsid w:val="00F70B70"/>
    <w:rsid w:val="00FC093B"/>
    <w:rsid w:val="00FC0D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unhideWhenUsed/>
    <w:rsid w:val="000A2D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A2DB0"/>
    <w:rPr>
      <w:b/>
      <w:bCs/>
    </w:rPr>
  </w:style>
  <w:style w:type="character" w:styleId="FollowedHyperlink">
    <w:name w:val="FollowedHyperlink"/>
    <w:basedOn w:val="DefaultParagraphFont"/>
    <w:uiPriority w:val="99"/>
    <w:semiHidden/>
    <w:unhideWhenUsed/>
    <w:rsid w:val="00FC0D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065682331">
      <w:bodyDiv w:val="1"/>
      <w:marLeft w:val="0"/>
      <w:marRight w:val="0"/>
      <w:marTop w:val="0"/>
      <w:marBottom w:val="0"/>
      <w:divBdr>
        <w:top w:val="none" w:sz="0" w:space="0" w:color="auto"/>
        <w:left w:val="none" w:sz="0" w:space="0" w:color="auto"/>
        <w:bottom w:val="none" w:sz="0" w:space="0" w:color="auto"/>
        <w:right w:val="none" w:sz="0" w:space="0" w:color="auto"/>
      </w:divBdr>
    </w:div>
    <w:div w:id="1192182377">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9649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5</Pages>
  <Words>1221</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Scott Thomas Jacques</cp:lastModifiedBy>
  <cp:revision>17</cp:revision>
  <dcterms:created xsi:type="dcterms:W3CDTF">2018-01-10T14:52:00Z</dcterms:created>
  <dcterms:modified xsi:type="dcterms:W3CDTF">2021-01-28T16:24:00Z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