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AFDFDA" w14:textId="77777777" w:rsidR="00CA61BC" w:rsidRDefault="007F1B9B">
      <w:pPr>
        <w:pStyle w:val="Title"/>
      </w:pPr>
      <w:r>
        <w:t>Chapter 12: GPCRs and RTKs</w:t>
      </w:r>
    </w:p>
    <w:p w14:paraId="772BB73C" w14:textId="77777777" w:rsidR="00CA61BC" w:rsidRDefault="00CA61BC"/>
    <w:p w14:paraId="6321818A" w14:textId="77777777" w:rsidR="00CA61BC" w:rsidRDefault="007F1B9B" w:rsidP="00950EF5">
      <w:r>
        <w:t>In the previous chapter, we discussed the general principles of cell signaling, including the class of proteins termed receptors, which bind signaling molecules. Here, we further explore two types of receptors—G-protein coupled receptors (GPCRs) and receptor tyrosine kinases (RTKs)—and their roles in signal transduction.</w:t>
      </w:r>
    </w:p>
    <w:p w14:paraId="17737802" w14:textId="77777777" w:rsidR="00950EF5" w:rsidRDefault="00950EF5" w:rsidP="00950EF5"/>
    <w:p w14:paraId="43CF9548" w14:textId="77777777" w:rsidR="00CA61BC" w:rsidRDefault="007F1B9B">
      <w:pPr>
        <w:pStyle w:val="Heading2"/>
      </w:pPr>
      <w:r>
        <w:t>G-protein Coupled Receptors</w:t>
      </w:r>
    </w:p>
    <w:p w14:paraId="146A57A6" w14:textId="6816EEE9" w:rsidR="00154FC6" w:rsidRDefault="007F1B9B" w:rsidP="00950EF5">
      <w:r>
        <w:rPr>
          <w:b/>
        </w:rPr>
        <w:t>G-protein-coupled receptors (GPCRs)</w:t>
      </w:r>
      <w:r>
        <w:t xml:space="preserve"> are membrane proteins with seven membrane-spanning domains (Figure 12-1).  Each GPCR is associated with an intracellular protein called a </w:t>
      </w:r>
      <w:r>
        <w:rPr>
          <w:b/>
        </w:rPr>
        <w:t>G-protein</w:t>
      </w:r>
      <w:r>
        <w:t>. G-proteins are heterotrimeric, meaning that contain three distinct subunits (α, β, and γ subunits). G-protein α subunits have GTPase activity.</w:t>
      </w:r>
    </w:p>
    <w:p w14:paraId="0D9EB99C" w14:textId="2699BE9C" w:rsidR="00CA61BC" w:rsidRDefault="00154FC6" w:rsidP="00154FC6">
      <w:pPr>
        <w:jc w:val="center"/>
      </w:pPr>
      <w:r>
        <w:rPr>
          <w:noProof/>
        </w:rPr>
        <w:drawing>
          <wp:anchor distT="0" distB="0" distL="114300" distR="114300" simplePos="0" relativeHeight="251658240" behindDoc="0" locked="0" layoutInCell="1" allowOverlap="1" wp14:anchorId="45B9FF76" wp14:editId="1864A61B">
            <wp:simplePos x="0" y="0"/>
            <wp:positionH relativeFrom="column">
              <wp:posOffset>979170</wp:posOffset>
            </wp:positionH>
            <wp:positionV relativeFrom="paragraph">
              <wp:posOffset>1905</wp:posOffset>
            </wp:positionV>
            <wp:extent cx="4535424" cy="2286000"/>
            <wp:effectExtent l="0" t="0" r="0" b="0"/>
            <wp:wrapTopAndBottom/>
            <wp:docPr id="36" name="image5.png" descr="G-protein coupled receptors (GPCRs) have seven transmembrane domains and are associated with an intracellular G-protein (not shown in figure)." title="Figure 12-1: GPCRs. "/>
            <wp:cNvGraphicFramePr/>
            <a:graphic xmlns:a="http://schemas.openxmlformats.org/drawingml/2006/main">
              <a:graphicData uri="http://schemas.openxmlformats.org/drawingml/2006/picture">
                <pic:pic xmlns:pic="http://schemas.openxmlformats.org/drawingml/2006/picture">
                  <pic:nvPicPr>
                    <pic:cNvPr id="0" name="image5.png" descr="GPCR structure"/>
                    <pic:cNvPicPr preferRelativeResize="0"/>
                  </pic:nvPicPr>
                  <pic:blipFill>
                    <a:blip r:embed="rId9">
                      <a:extLst>
                        <a:ext uri="{28A0092B-C50C-407E-A947-70E740481C1C}">
                          <a14:useLocalDpi xmlns:a14="http://schemas.microsoft.com/office/drawing/2010/main" val="0"/>
                        </a:ext>
                      </a:extLst>
                    </a:blip>
                    <a:srcRect/>
                    <a:stretch>
                      <a:fillRect/>
                    </a:stretch>
                  </pic:blipFill>
                  <pic:spPr>
                    <a:xfrm>
                      <a:off x="0" y="0"/>
                      <a:ext cx="4535424" cy="2286000"/>
                    </a:xfrm>
                    <a:prstGeom prst="rect">
                      <a:avLst/>
                    </a:prstGeom>
                    <a:ln/>
                  </pic:spPr>
                </pic:pic>
              </a:graphicData>
            </a:graphic>
          </wp:anchor>
        </w:drawing>
      </w:r>
    </w:p>
    <w:p w14:paraId="1D434FF8" w14:textId="77777777" w:rsidR="00CA61BC" w:rsidRPr="0089179B" w:rsidRDefault="007F1B9B" w:rsidP="0089179B">
      <w:pPr>
        <w:spacing w:line="240" w:lineRule="auto"/>
        <w:rPr>
          <w:b/>
          <w:sz w:val="18"/>
        </w:rPr>
      </w:pPr>
      <w:r w:rsidRPr="0089179B">
        <w:rPr>
          <w:b/>
          <w:sz w:val="18"/>
        </w:rPr>
        <w:t>Figure 12-1: GPCRs.</w:t>
      </w:r>
      <w:r w:rsidRPr="0089179B">
        <w:rPr>
          <w:sz w:val="18"/>
        </w:rPr>
        <w:t xml:space="preserve"> G-protein coupled receptors (GPCRs) have seven transmembrane domains and are associated with an intracellular G-protein (not shown in figure).</w:t>
      </w:r>
    </w:p>
    <w:p w14:paraId="3A5F9CB5" w14:textId="77777777" w:rsidR="00CA61BC" w:rsidRDefault="00CA61BC"/>
    <w:p w14:paraId="010BADC4" w14:textId="77777777" w:rsidR="00CA61BC" w:rsidRDefault="007F1B9B">
      <w:r>
        <w:t xml:space="preserve">Cell signaling using GPCRs occurs as a cyclic series of events. Before the signaling molecule binds, the inactive G-protein can bind to a newly revealed site on the receptor specific for its binding. Once the G-protein binds to the receptor, the resultant shape change activates the G-protein, which releases GDP on the α subunit and binds GTP, resulting in the G protein now being activated or “on.” The subunits of the G-protein then split into the α subunit and the βγ subunit. One or both of these G-protein fragments (α or βγ) may be able to activate other proteins as a result. To turn the pathway “off,” the GTP on the active α subunit </w:t>
      </w:r>
      <w:r>
        <w:lastRenderedPageBreak/>
        <w:t>of the G-protein is hydrolyzed to GDP and the βγ subunit is deactivated or “off”. The subunits re-associate to form the inactive G-protein, and the cycle begins anew (Figure 12-2).</w:t>
      </w:r>
    </w:p>
    <w:p w14:paraId="3815DBCB" w14:textId="77777777" w:rsidR="00CA61BC" w:rsidRDefault="00CA61BC"/>
    <w:p w14:paraId="399DDF4D" w14:textId="77777777" w:rsidR="00CA61BC" w:rsidRDefault="007F1B9B" w:rsidP="00154FC6">
      <w:pPr>
        <w:jc w:val="center"/>
      </w:pPr>
      <w:r>
        <w:rPr>
          <w:noProof/>
        </w:rPr>
        <w:drawing>
          <wp:anchor distT="0" distB="0" distL="114300" distR="114300" simplePos="0" relativeHeight="251659264" behindDoc="0" locked="0" layoutInCell="1" allowOverlap="1" wp14:anchorId="5A44C41B" wp14:editId="0EA41570">
            <wp:simplePos x="0" y="0"/>
            <wp:positionH relativeFrom="column">
              <wp:posOffset>807720</wp:posOffset>
            </wp:positionH>
            <wp:positionV relativeFrom="paragraph">
              <wp:posOffset>-635</wp:posOffset>
            </wp:positionV>
            <wp:extent cx="4873752" cy="5482971"/>
            <wp:effectExtent l="0" t="0" r="3175" b="3810"/>
            <wp:wrapTopAndBottom/>
            <wp:docPr id="37" name="image6.jpg" descr="GPCRs are linked to a heterotrimeric G-protein. In a resting (inactive) state, the alpha (α), beta (β), and gamma (γ) subunits are associated and the alpha subunit is bound to GDP. When a signaling molecule activates the associated GPCR, GTP is exchanged for GDP on the alpha subunit.  Additionally, the beta and gamma subunit dissociates from the alpha subunit. To deactivate the signaling pathway, the alpha subunit hydrolyzes GTP to GDP. Furthermore, the beta and gamma subunit re-associate with the alpha subunit." title="Figure 12-2: G-protein Activation and Inactivation. "/>
            <wp:cNvGraphicFramePr/>
            <a:graphic xmlns:a="http://schemas.openxmlformats.org/drawingml/2006/main">
              <a:graphicData uri="http://schemas.openxmlformats.org/drawingml/2006/picture">
                <pic:pic xmlns:pic="http://schemas.openxmlformats.org/drawingml/2006/picture">
                  <pic:nvPicPr>
                    <pic:cNvPr id="0" name="image6.jpg" descr="G-protein Activation and Inactivation"/>
                    <pic:cNvPicPr preferRelativeResize="0"/>
                  </pic:nvPicPr>
                  <pic:blipFill>
                    <a:blip r:embed="rId10">
                      <a:extLst>
                        <a:ext uri="{28A0092B-C50C-407E-A947-70E740481C1C}">
                          <a14:useLocalDpi xmlns:a14="http://schemas.microsoft.com/office/drawing/2010/main" val="0"/>
                        </a:ext>
                      </a:extLst>
                    </a:blip>
                    <a:srcRect/>
                    <a:stretch>
                      <a:fillRect/>
                    </a:stretch>
                  </pic:blipFill>
                  <pic:spPr>
                    <a:xfrm>
                      <a:off x="0" y="0"/>
                      <a:ext cx="4873752" cy="5482971"/>
                    </a:xfrm>
                    <a:prstGeom prst="rect">
                      <a:avLst/>
                    </a:prstGeom>
                    <a:ln/>
                  </pic:spPr>
                </pic:pic>
              </a:graphicData>
            </a:graphic>
          </wp:anchor>
        </w:drawing>
      </w:r>
    </w:p>
    <w:p w14:paraId="788C6922" w14:textId="77777777" w:rsidR="00CA61BC" w:rsidRPr="0089179B" w:rsidRDefault="007F1B9B" w:rsidP="0089179B">
      <w:pPr>
        <w:spacing w:line="240" w:lineRule="auto"/>
        <w:rPr>
          <w:b/>
          <w:sz w:val="18"/>
        </w:rPr>
      </w:pPr>
      <w:r w:rsidRPr="0089179B">
        <w:rPr>
          <w:b/>
          <w:sz w:val="18"/>
        </w:rPr>
        <w:t>Figure 12-2: G-protein Activation and Inactivation.</w:t>
      </w:r>
      <w:r w:rsidRPr="0089179B">
        <w:rPr>
          <w:sz w:val="18"/>
        </w:rPr>
        <w:t xml:space="preserve"> GPCRs are linked to a heterotrimeric G-protein. In a resting (inactive) state, the alpha (α), beta (β), and gamma (γ) subunits are associated and the alpha subunit is bound to GDP. When a signaling molecule activates the associated GPCR, GTP is exchanged for GDP on the alpha subunit.  Additionally, the beta and gamma subunit dissociates from the alpha subunit. To deactivate the signaling pathway, the alpha subunit hydrolyzes GTP to GDP. Furthermore, the beta and gamma subunit re-associate with the alpha subunit.</w:t>
      </w:r>
    </w:p>
    <w:p w14:paraId="3DAA273A" w14:textId="77777777" w:rsidR="00CA61BC" w:rsidRDefault="00CA61BC"/>
    <w:p w14:paraId="43AFA8DF" w14:textId="77777777" w:rsidR="00CA61BC" w:rsidRDefault="007F1B9B">
      <w:r>
        <w:t xml:space="preserve">G-protein-coupled receptors have been extensively studied, and much has been learned about their roles in maintaining health. Bacteria that are pathogenic to humans can release poisons that interrupt specific G-protein-coupled receptor functions, leading to illnesses such as pertussis, botulism, and cholera. In cholera, for example, the water-borne bacterium </w:t>
      </w:r>
      <w:r>
        <w:rPr>
          <w:i/>
        </w:rPr>
        <w:t>Vibrio cholerae</w:t>
      </w:r>
      <w:r>
        <w:t xml:space="preserve"> produces a toxin, </w:t>
      </w:r>
      <w:proofErr w:type="spellStart"/>
      <w:r>
        <w:t>choleragen</w:t>
      </w:r>
      <w:proofErr w:type="spellEnd"/>
      <w:r>
        <w:t xml:space="preserve">, which binds </w:t>
      </w:r>
      <w:r>
        <w:lastRenderedPageBreak/>
        <w:t>to cells lining the small intestine. The toxin then enters these intestinal cells, where it modifies a G-protein that controls the opening of a chloride channel and causes it to remain continuously active, resulting in large losses of fluids from the body and potentially fatal dehydration as a result.</w:t>
      </w:r>
    </w:p>
    <w:p w14:paraId="44EE53D2" w14:textId="77777777" w:rsidR="00CA61BC" w:rsidRDefault="00CA61BC"/>
    <w:p w14:paraId="06126CD8" w14:textId="77777777" w:rsidR="00CA61BC" w:rsidRDefault="007F1B9B">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cAMP/PKA Signal Transduction Pathway</w:t>
      </w:r>
    </w:p>
    <w:p w14:paraId="0BE64DE0" w14:textId="77777777" w:rsidR="00CA61BC" w:rsidRDefault="007F1B9B">
      <w:r>
        <w:t xml:space="preserve"> One of the two classical pathways initiated by GPCRs starts with G-protein stimulation of </w:t>
      </w:r>
      <w:r>
        <w:rPr>
          <w:b/>
        </w:rPr>
        <w:t xml:space="preserve">adenylyl cyclase (AC). </w:t>
      </w:r>
      <w:r>
        <w:t>After binding of the ligand to the GPCR and the subsequent activation of the G-protein. The newly activated and released βγ subunit interacts with</w:t>
      </w:r>
      <w:r>
        <w:rPr>
          <w:b/>
        </w:rPr>
        <w:t xml:space="preserve"> </w:t>
      </w:r>
      <w:r>
        <w:t xml:space="preserve">AC, which is a membrane-associated enzyme that converts ATP to </w:t>
      </w:r>
      <w:r>
        <w:rPr>
          <w:b/>
        </w:rPr>
        <w:t xml:space="preserve">cAMP </w:t>
      </w:r>
      <w:r>
        <w:t xml:space="preserve">(Figure 12-3). Since ATP is plentiful in the cell, and AC is a relatively fast enzyme, the amplification of the signal comes with the generation of the second messenger molecule cAMP, where second messengers can amplify and relay the signal received by the GPCR throughout the cell. Each cAMP molecule can activate other enzymes, the primary one being </w:t>
      </w:r>
      <w:r>
        <w:rPr>
          <w:b/>
        </w:rPr>
        <w:t>protein kinase A (PKA)</w:t>
      </w:r>
      <w:r>
        <w:t>. PKA</w:t>
      </w:r>
      <w:r>
        <w:rPr>
          <w:b/>
        </w:rPr>
        <w:t xml:space="preserve"> </w:t>
      </w:r>
      <w:r>
        <w:t>can then phosphorylate a variety of substrates to alter cellular activity by gene expression, molecular motors, or metabolic changes (Figure 12-4).</w:t>
      </w:r>
    </w:p>
    <w:p w14:paraId="1D462EB8" w14:textId="77777777" w:rsidR="00CA61BC" w:rsidRDefault="00CA61BC"/>
    <w:p w14:paraId="287AFFFE" w14:textId="77777777" w:rsidR="00CA61BC" w:rsidRDefault="007F1B9B">
      <w:r>
        <w:t>One example of how the cAMP/PKA signal transduction pathway is used in cells is the “fight or flight” response. The hormone adrenaline binds to its receptor, a GPCR. This leads to the activation of AC and the subsequent increase in cellular cAMP levels and activation of PKA. Once active, PKA phosphorylates enzymes responsible for metabolizing glycogen into glucose. The result is more glucose is available to cells, providing energy for “fight” or “flight.”</w:t>
      </w:r>
    </w:p>
    <w:p w14:paraId="11BB8121" w14:textId="77777777" w:rsidR="00CA61BC" w:rsidRDefault="00CA61BC"/>
    <w:p w14:paraId="26E59324" w14:textId="2159B748" w:rsidR="00CA61BC" w:rsidRDefault="007F1B9B" w:rsidP="0089179B">
      <w:pPr>
        <w:jc w:val="center"/>
      </w:pPr>
      <w:r>
        <w:rPr>
          <w:noProof/>
        </w:rPr>
        <w:drawing>
          <wp:anchor distT="0" distB="0" distL="114300" distR="114300" simplePos="0" relativeHeight="251660288" behindDoc="0" locked="0" layoutInCell="1" allowOverlap="1" wp14:anchorId="01C23596" wp14:editId="0A189FE2">
            <wp:simplePos x="0" y="0"/>
            <wp:positionH relativeFrom="column">
              <wp:posOffset>807720</wp:posOffset>
            </wp:positionH>
            <wp:positionV relativeFrom="paragraph">
              <wp:posOffset>-4445</wp:posOffset>
            </wp:positionV>
            <wp:extent cx="4873625" cy="2166620"/>
            <wp:effectExtent l="0" t="0" r="3175" b="5080"/>
            <wp:wrapTopAndBottom/>
            <wp:docPr id="40" name="image10.jpg" descr="Adenylyl cyclase metabolizes ATP into cyclic AMP (cAMP). cAMP is a secondary major, which serves to amplify the cellular response to the primary signaling molecule. Termination of the signal occurs when an enzyme called phosphodiesterase converts cAMP into AMP." title="Figure 12-3: cAMP. "/>
            <wp:cNvGraphicFramePr/>
            <a:graphic xmlns:a="http://schemas.openxmlformats.org/drawingml/2006/main">
              <a:graphicData uri="http://schemas.openxmlformats.org/drawingml/2006/picture">
                <pic:pic xmlns:pic="http://schemas.openxmlformats.org/drawingml/2006/picture">
                  <pic:nvPicPr>
                    <pic:cNvPr id="0" name="image10.jpg" descr="cAMP"/>
                    <pic:cNvPicPr preferRelativeResize="0"/>
                  </pic:nvPicPr>
                  <pic:blipFill>
                    <a:blip r:embed="rId11">
                      <a:extLst>
                        <a:ext uri="{28A0092B-C50C-407E-A947-70E740481C1C}">
                          <a14:useLocalDpi xmlns:a14="http://schemas.microsoft.com/office/drawing/2010/main" val="0"/>
                        </a:ext>
                      </a:extLst>
                    </a:blip>
                    <a:srcRect/>
                    <a:stretch>
                      <a:fillRect/>
                    </a:stretch>
                  </pic:blipFill>
                  <pic:spPr>
                    <a:xfrm>
                      <a:off x="0" y="0"/>
                      <a:ext cx="4873625" cy="2166620"/>
                    </a:xfrm>
                    <a:prstGeom prst="rect">
                      <a:avLst/>
                    </a:prstGeom>
                    <a:ln/>
                  </pic:spPr>
                </pic:pic>
              </a:graphicData>
            </a:graphic>
          </wp:anchor>
        </w:drawing>
      </w:r>
    </w:p>
    <w:p w14:paraId="504A84B9" w14:textId="77777777" w:rsidR="00CA61BC" w:rsidRPr="0089179B" w:rsidRDefault="007F1B9B" w:rsidP="0089179B">
      <w:pPr>
        <w:spacing w:line="240" w:lineRule="auto"/>
        <w:rPr>
          <w:b/>
          <w:sz w:val="18"/>
        </w:rPr>
      </w:pPr>
      <w:r w:rsidRPr="0089179B">
        <w:rPr>
          <w:b/>
          <w:sz w:val="18"/>
        </w:rPr>
        <w:t>Figure 12-3:</w:t>
      </w:r>
      <w:r w:rsidRPr="0089179B">
        <w:rPr>
          <w:sz w:val="18"/>
        </w:rPr>
        <w:t xml:space="preserve"> cAMP. Adenylyl cyclase metabolizes ATP into cyclic AMP (cAMP). cAMP is a secondary major, which serves to amplify the cellular response to the primary signaling molecule. Termination of the signal occurs when an enzyme called phosphodiesterase converts cAMP into AMP.</w:t>
      </w:r>
    </w:p>
    <w:p w14:paraId="55D29355" w14:textId="77777777" w:rsidR="00CA61BC" w:rsidRDefault="00CA61BC"/>
    <w:p w14:paraId="0A6B13D3" w14:textId="1C8B581D" w:rsidR="00CA61BC" w:rsidRDefault="00154FC6" w:rsidP="00154FC6">
      <w:pPr>
        <w:jc w:val="left"/>
      </w:pPr>
      <w:bookmarkStart w:id="0" w:name="_heading=h.gjdgxs" w:colFirst="0" w:colLast="0"/>
      <w:bookmarkEnd w:id="0"/>
      <w:r>
        <w:rPr>
          <w:noProof/>
        </w:rPr>
        <w:lastRenderedPageBreak/>
        <w:drawing>
          <wp:anchor distT="0" distB="0" distL="114300" distR="114300" simplePos="0" relativeHeight="251661312" behindDoc="0" locked="0" layoutInCell="1" allowOverlap="1" wp14:anchorId="02A8FF86" wp14:editId="22B6A64A">
            <wp:simplePos x="0" y="0"/>
            <wp:positionH relativeFrom="column">
              <wp:posOffset>-1905</wp:posOffset>
            </wp:positionH>
            <wp:positionV relativeFrom="paragraph">
              <wp:posOffset>0</wp:posOffset>
            </wp:positionV>
            <wp:extent cx="6492240" cy="4515485"/>
            <wp:effectExtent l="0" t="0" r="3810" b="0"/>
            <wp:wrapTopAndBottom/>
            <wp:docPr id="2" name="Picture 2" descr="A signaling molecule binds to a GPCR, leading to activation of the associated G-protein. The active G-protein binds to adenylyl cyclase (shown as adenylate cyclase above), stimulating the enzyme to convert ATP to the secondary messenger, cAMP. The cAMP binds to PKA, activating its kinase activity. Once active, PKA can phosphorylate several effectors to elicit different cellular responses. " title="Figure 12-4: The cAMP/PKA signal transduction pathway.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12-4 screengrab.PNG"/>
                    <pic:cNvPicPr/>
                  </pic:nvPicPr>
                  <pic:blipFill>
                    <a:blip r:embed="rId12">
                      <a:extLst>
                        <a:ext uri="{28A0092B-C50C-407E-A947-70E740481C1C}">
                          <a14:useLocalDpi xmlns:a14="http://schemas.microsoft.com/office/drawing/2010/main" val="0"/>
                        </a:ext>
                      </a:extLst>
                    </a:blip>
                    <a:stretch>
                      <a:fillRect/>
                    </a:stretch>
                  </pic:blipFill>
                  <pic:spPr>
                    <a:xfrm>
                      <a:off x="0" y="0"/>
                      <a:ext cx="6492240" cy="4515485"/>
                    </a:xfrm>
                    <a:prstGeom prst="rect">
                      <a:avLst/>
                    </a:prstGeom>
                  </pic:spPr>
                </pic:pic>
              </a:graphicData>
            </a:graphic>
          </wp:anchor>
        </w:drawing>
      </w:r>
    </w:p>
    <w:p w14:paraId="48E4475D" w14:textId="6E46B5F9" w:rsidR="00CA61BC" w:rsidRPr="0089179B" w:rsidRDefault="007F1B9B" w:rsidP="0089179B">
      <w:pPr>
        <w:spacing w:line="240" w:lineRule="auto"/>
        <w:rPr>
          <w:b/>
          <w:sz w:val="18"/>
          <w:szCs w:val="18"/>
        </w:rPr>
      </w:pPr>
      <w:r w:rsidRPr="0089179B">
        <w:rPr>
          <w:b/>
          <w:sz w:val="18"/>
          <w:szCs w:val="18"/>
        </w:rPr>
        <w:t xml:space="preserve">Figure 12-4: The </w:t>
      </w:r>
      <w:proofErr w:type="spellStart"/>
      <w:r w:rsidRPr="0089179B">
        <w:rPr>
          <w:b/>
          <w:sz w:val="18"/>
          <w:szCs w:val="18"/>
        </w:rPr>
        <w:t>cAMP</w:t>
      </w:r>
      <w:proofErr w:type="spellEnd"/>
      <w:r w:rsidRPr="0089179B">
        <w:rPr>
          <w:b/>
          <w:sz w:val="18"/>
          <w:szCs w:val="18"/>
        </w:rPr>
        <w:t>/PKA signal transduction pathway.</w:t>
      </w:r>
      <w:r w:rsidRPr="0089179B">
        <w:rPr>
          <w:sz w:val="18"/>
          <w:szCs w:val="18"/>
        </w:rPr>
        <w:t xml:space="preserve"> A signaling molecule binds to a GPCR, leading to activation of the associated G-protein. The active G-protein binds to adenylyl cyclase (shown as adenylate cyclase above), stimulating the enzyme to convert ATP to the secondary messenger, cAMP. The cAMP binds to PKA, activating its kinase activity. Once active, PKA can phosphorylate several effectors to elicit different cellular responses. </w:t>
      </w:r>
    </w:p>
    <w:p w14:paraId="7892A016" w14:textId="219ABBA5" w:rsidR="00CA61BC" w:rsidRDefault="00CA61BC"/>
    <w:p w14:paraId="2C145C03" w14:textId="77777777" w:rsidR="00CA61BC" w:rsidRDefault="007F1B9B">
      <w:pPr>
        <w:pBdr>
          <w:top w:val="nil"/>
          <w:left w:val="nil"/>
          <w:bottom w:val="nil"/>
          <w:right w:val="nil"/>
          <w:between w:val="nil"/>
        </w:pBdr>
        <w:rPr>
          <w:rFonts w:ascii="Arial Bold" w:eastAsia="Arial Bold" w:hAnsi="Arial Bold" w:cs="Arial Bold"/>
          <w:b/>
          <w:color w:val="000000"/>
        </w:rPr>
      </w:pPr>
      <w:r>
        <w:rPr>
          <w:rFonts w:ascii="Arial Bold" w:eastAsia="Arial Bold" w:hAnsi="Arial Bold" w:cs="Arial Bold"/>
          <w:b/>
          <w:color w:val="000000"/>
        </w:rPr>
        <w:t>The Phospholipase C/Calcium Signal Transduction Pathway</w:t>
      </w:r>
    </w:p>
    <w:p w14:paraId="241AA7D9" w14:textId="77777777" w:rsidR="00CA61BC" w:rsidRDefault="007F1B9B">
      <w:r>
        <w:t xml:space="preserve">Another signaling pathway that is commonly activated by GPCRs is the </w:t>
      </w:r>
      <w:r>
        <w:rPr>
          <w:b/>
        </w:rPr>
        <w:t>phospholipase C (PLC)/calcium pathway.</w:t>
      </w:r>
      <w:r>
        <w:t xml:space="preserve"> Similar to the previously described pathway, this signaling is initiated when an activated G-protein (G</w:t>
      </w:r>
      <w:r>
        <w:rPr>
          <w:vertAlign w:val="subscript"/>
        </w:rPr>
        <w:t>α</w:t>
      </w:r>
      <w:r>
        <w:t xml:space="preserve">-GTP) binds to and activates an enzyme; in this case, the enzyme is phospholipase C (PLC). PLC cleaves the membrane lipid </w:t>
      </w:r>
      <w:r>
        <w:rPr>
          <w:b/>
          <w:color w:val="222222"/>
          <w:sz w:val="21"/>
          <w:szCs w:val="21"/>
          <w:highlight w:val="white"/>
        </w:rPr>
        <w:t>phosphatidylinositol 4,5-bisphosphate</w:t>
      </w:r>
      <w:r>
        <w:rPr>
          <w:color w:val="222222"/>
          <w:sz w:val="21"/>
          <w:szCs w:val="21"/>
          <w:highlight w:val="white"/>
        </w:rPr>
        <w:t xml:space="preserve"> </w:t>
      </w:r>
      <w:r>
        <w:rPr>
          <w:b/>
        </w:rPr>
        <w:t>(PIP</w:t>
      </w:r>
      <w:r>
        <w:rPr>
          <w:b/>
          <w:vertAlign w:val="subscript"/>
        </w:rPr>
        <w:t>2</w:t>
      </w:r>
      <w:r>
        <w:rPr>
          <w:b/>
        </w:rPr>
        <w:t>)</w:t>
      </w:r>
      <w:r>
        <w:t xml:space="preserve"> into two products: </w:t>
      </w:r>
      <w:r>
        <w:rPr>
          <w:b/>
        </w:rPr>
        <w:t>diacylglyceride (DAG)</w:t>
      </w:r>
      <w:r>
        <w:t xml:space="preserve"> and </w:t>
      </w:r>
      <w:r>
        <w:rPr>
          <w:b/>
        </w:rPr>
        <w:t>inositol 3-phosphate (IP</w:t>
      </w:r>
      <w:r>
        <w:rPr>
          <w:b/>
          <w:vertAlign w:val="subscript"/>
        </w:rPr>
        <w:t>3</w:t>
      </w:r>
      <w:r>
        <w:rPr>
          <w:b/>
        </w:rPr>
        <w:t xml:space="preserve">) </w:t>
      </w:r>
      <w:r>
        <w:t>(Figure 12-5)</w:t>
      </w:r>
      <w:r>
        <w:rPr>
          <w:b/>
        </w:rPr>
        <w:t>.</w:t>
      </w:r>
      <w:r>
        <w:t xml:space="preserve"> DAG remains in the membrane, while IP</w:t>
      </w:r>
      <w:r>
        <w:rPr>
          <w:vertAlign w:val="subscript"/>
        </w:rPr>
        <w:t xml:space="preserve">3 </w:t>
      </w:r>
      <w:r>
        <w:t>is released into the cytoplasm. Both DAG and IP</w:t>
      </w:r>
      <w:r>
        <w:rPr>
          <w:vertAlign w:val="subscript"/>
        </w:rPr>
        <w:t>3</w:t>
      </w:r>
      <w:r>
        <w:t xml:space="preserve"> can serve as secondary messengers to stimulate downstream signaling events.</w:t>
      </w:r>
    </w:p>
    <w:p w14:paraId="2DA5F19F" w14:textId="443982C5" w:rsidR="00CA61BC" w:rsidRDefault="00CA61BC"/>
    <w:p w14:paraId="6D5A888B" w14:textId="77777777" w:rsidR="0089179B" w:rsidRDefault="0089179B"/>
    <w:p w14:paraId="523326AB" w14:textId="1E1BF2D1" w:rsidR="00CA61BC" w:rsidRDefault="00CA61BC" w:rsidP="00154FC6">
      <w:pPr>
        <w:jc w:val="center"/>
      </w:pPr>
    </w:p>
    <w:p w14:paraId="63F49AE7" w14:textId="7674735D" w:rsidR="0089179B" w:rsidRDefault="0089179B">
      <w:pPr>
        <w:pStyle w:val="Subtitle"/>
        <w:jc w:val="both"/>
      </w:pPr>
      <w:r>
        <w:rPr>
          <w:noProof/>
        </w:rPr>
        <w:lastRenderedPageBreak/>
        <w:drawing>
          <wp:anchor distT="0" distB="0" distL="114300" distR="114300" simplePos="0" relativeHeight="251662336" behindDoc="0" locked="0" layoutInCell="1" allowOverlap="1" wp14:anchorId="212C287B" wp14:editId="7ABC8E97">
            <wp:simplePos x="0" y="0"/>
            <wp:positionH relativeFrom="column">
              <wp:posOffset>1083945</wp:posOffset>
            </wp:positionH>
            <wp:positionV relativeFrom="paragraph">
              <wp:posOffset>120015</wp:posOffset>
            </wp:positionV>
            <wp:extent cx="3959225" cy="3392805"/>
            <wp:effectExtent l="0" t="0" r="3175" b="0"/>
            <wp:wrapTopAndBottom/>
            <wp:docPr id="35" name="image4.jpg" descr="In response to G-protein activation, phospholipase C (PLC) cleaves the membrane lipid PIP2 in DAG and IP3, the latter two serving as secondary messengers in signaling." title="Figure 12-5: PIP2, IP3, and DAG.  "/>
            <wp:cNvGraphicFramePr/>
            <a:graphic xmlns:a="http://schemas.openxmlformats.org/drawingml/2006/main">
              <a:graphicData uri="http://schemas.openxmlformats.org/drawingml/2006/picture">
                <pic:pic xmlns:pic="http://schemas.openxmlformats.org/drawingml/2006/picture">
                  <pic:nvPicPr>
                    <pic:cNvPr id="0" name="image4.jpg" descr="Figure 12-5. PIP2, IP3, and DAG.  "/>
                    <pic:cNvPicPr preferRelativeResize="0"/>
                  </pic:nvPicPr>
                  <pic:blipFill>
                    <a:blip r:embed="rId13">
                      <a:extLst>
                        <a:ext uri="{28A0092B-C50C-407E-A947-70E740481C1C}">
                          <a14:useLocalDpi xmlns:a14="http://schemas.microsoft.com/office/drawing/2010/main" val="0"/>
                        </a:ext>
                      </a:extLst>
                    </a:blip>
                    <a:srcRect/>
                    <a:stretch>
                      <a:fillRect/>
                    </a:stretch>
                  </pic:blipFill>
                  <pic:spPr>
                    <a:xfrm>
                      <a:off x="0" y="0"/>
                      <a:ext cx="3959225" cy="3392805"/>
                    </a:xfrm>
                    <a:prstGeom prst="rect">
                      <a:avLst/>
                    </a:prstGeom>
                    <a:ln/>
                  </pic:spPr>
                </pic:pic>
              </a:graphicData>
            </a:graphic>
            <wp14:sizeRelH relativeFrom="margin">
              <wp14:pctWidth>0</wp14:pctWidth>
            </wp14:sizeRelH>
            <wp14:sizeRelV relativeFrom="margin">
              <wp14:pctHeight>0</wp14:pctHeight>
            </wp14:sizeRelV>
          </wp:anchor>
        </w:drawing>
      </w:r>
    </w:p>
    <w:p w14:paraId="0F5F5A05" w14:textId="781B52E8" w:rsidR="00CA61BC" w:rsidRPr="0089179B" w:rsidRDefault="007F1B9B" w:rsidP="0089179B">
      <w:pPr>
        <w:spacing w:line="240" w:lineRule="auto"/>
        <w:rPr>
          <w:b/>
          <w:sz w:val="18"/>
        </w:rPr>
      </w:pPr>
      <w:r w:rsidRPr="0089179B">
        <w:rPr>
          <w:b/>
          <w:sz w:val="18"/>
        </w:rPr>
        <w:t>Figure 12-5: PIP</w:t>
      </w:r>
      <w:r w:rsidRPr="0089179B">
        <w:rPr>
          <w:b/>
          <w:sz w:val="18"/>
          <w:vertAlign w:val="subscript"/>
        </w:rPr>
        <w:t>2</w:t>
      </w:r>
      <w:r w:rsidRPr="0089179B">
        <w:rPr>
          <w:b/>
          <w:sz w:val="18"/>
        </w:rPr>
        <w:t>, IP</w:t>
      </w:r>
      <w:r w:rsidRPr="0089179B">
        <w:rPr>
          <w:b/>
          <w:sz w:val="18"/>
          <w:vertAlign w:val="subscript"/>
        </w:rPr>
        <w:t>3</w:t>
      </w:r>
      <w:r w:rsidRPr="0089179B">
        <w:rPr>
          <w:b/>
          <w:sz w:val="18"/>
        </w:rPr>
        <w:t>, and DAG.</w:t>
      </w:r>
      <w:r w:rsidRPr="0089179B">
        <w:rPr>
          <w:sz w:val="18"/>
        </w:rPr>
        <w:t xml:space="preserve">  In response to G-protein activation, phospholipase C (PLC) cleaves the membrane lipid PIP</w:t>
      </w:r>
      <w:r w:rsidRPr="0089179B">
        <w:rPr>
          <w:sz w:val="18"/>
          <w:vertAlign w:val="subscript"/>
        </w:rPr>
        <w:t>2</w:t>
      </w:r>
      <w:r w:rsidRPr="0089179B">
        <w:rPr>
          <w:sz w:val="18"/>
        </w:rPr>
        <w:t xml:space="preserve"> in DAG and IP</w:t>
      </w:r>
      <w:r w:rsidRPr="0089179B">
        <w:rPr>
          <w:sz w:val="18"/>
          <w:vertAlign w:val="subscript"/>
        </w:rPr>
        <w:t>3</w:t>
      </w:r>
      <w:r w:rsidRPr="0089179B">
        <w:rPr>
          <w:sz w:val="18"/>
        </w:rPr>
        <w:t>, the latter two serving as secondary messengers in signaling.</w:t>
      </w:r>
    </w:p>
    <w:p w14:paraId="580D3ADF" w14:textId="2EF06209" w:rsidR="00CA61BC" w:rsidRDefault="00CA61BC"/>
    <w:p w14:paraId="0E985AAD" w14:textId="77777777" w:rsidR="00CA61BC" w:rsidRDefault="007F1B9B">
      <w:r>
        <w:t>IP</w:t>
      </w:r>
      <w:r>
        <w:rPr>
          <w:vertAlign w:val="subscript"/>
        </w:rPr>
        <w:t>3</w:t>
      </w:r>
      <w:r>
        <w:t xml:space="preserve"> opens ligand-gated ion channels on the endoplasmic reticulum, increasing the cellular levels of calcium. Next, DAG and/or calcium bind to and activate protein kinase C (PKC) (Note: There are many isoforms of PKC. Some are activated by both DAG and calcium, others by other DAG or calcium alone, and others by different lipids) (Figure 12-6). Once active, PKC phosphorylates many different effectors, results in various cellular responses. Some examples include immune cell activation, platelet aggregation, and secretion of digestive enzymes.</w:t>
      </w:r>
    </w:p>
    <w:p w14:paraId="05DB5447" w14:textId="5F1C2109" w:rsidR="00CA61BC" w:rsidRDefault="00CA61BC"/>
    <w:p w14:paraId="552C4BD5" w14:textId="1F6603FF" w:rsidR="0089179B" w:rsidRDefault="0089179B"/>
    <w:p w14:paraId="27B40A68" w14:textId="40FFF72C" w:rsidR="0089179B" w:rsidRDefault="0089179B"/>
    <w:p w14:paraId="36BA2016" w14:textId="1D6DC250" w:rsidR="0089179B" w:rsidRDefault="0089179B"/>
    <w:p w14:paraId="16C43422" w14:textId="0010B141" w:rsidR="0089179B" w:rsidRDefault="0089179B"/>
    <w:p w14:paraId="1B6CC73C" w14:textId="3723FA40" w:rsidR="0089179B" w:rsidRDefault="0089179B"/>
    <w:p w14:paraId="7A444C3A" w14:textId="292D4B40" w:rsidR="0089179B" w:rsidRDefault="0089179B"/>
    <w:p w14:paraId="49ACAB98" w14:textId="77777777" w:rsidR="0089179B" w:rsidRDefault="0089179B"/>
    <w:p w14:paraId="4A3CC876" w14:textId="77777777" w:rsidR="00E050C2" w:rsidRDefault="00E050C2"/>
    <w:p w14:paraId="18E33834" w14:textId="2FD186D8" w:rsidR="00E050C2" w:rsidRPr="0089179B" w:rsidRDefault="0089179B" w:rsidP="0089179B">
      <w:pPr>
        <w:spacing w:line="240" w:lineRule="auto"/>
        <w:rPr>
          <w:sz w:val="18"/>
        </w:rPr>
      </w:pPr>
      <w:r>
        <w:rPr>
          <w:noProof/>
        </w:rPr>
        <w:lastRenderedPageBreak/>
        <w:drawing>
          <wp:anchor distT="0" distB="0" distL="114300" distR="114300" simplePos="0" relativeHeight="251663360" behindDoc="0" locked="0" layoutInCell="1" allowOverlap="1" wp14:anchorId="33132FEA" wp14:editId="03106B40">
            <wp:simplePos x="0" y="0"/>
            <wp:positionH relativeFrom="column">
              <wp:posOffset>150495</wp:posOffset>
            </wp:positionH>
            <wp:positionV relativeFrom="paragraph">
              <wp:posOffset>0</wp:posOffset>
            </wp:positionV>
            <wp:extent cx="5848985" cy="4524375"/>
            <wp:effectExtent l="0" t="0" r="0" b="9525"/>
            <wp:wrapTopAndBottom/>
            <wp:docPr id="4" name="Picture 4" descr="(A) The G-protein is inactive with GDP bound. (B) Upon ligand binding, G-protein binds to the receptor, exchanges GDP for GTP, and Ga dissociates. (C) Ga-GTP activates PLC, which metabolizes the membrane lipid PIP2 (note: this is abbreviated as “PI” in the figure above) into DAG and IP3. The latter induces Ca2+ release into the cytoplasm and, together with DAG, activates PKC." title="Figure 12-6: The PIP2/Ca++ Signal Transd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e 12-6 screengrab.PNG"/>
                    <pic:cNvPicPr/>
                  </pic:nvPicPr>
                  <pic:blipFill>
                    <a:blip r:embed="rId14">
                      <a:extLst>
                        <a:ext uri="{28A0092B-C50C-407E-A947-70E740481C1C}">
                          <a14:useLocalDpi xmlns:a14="http://schemas.microsoft.com/office/drawing/2010/main" val="0"/>
                        </a:ext>
                      </a:extLst>
                    </a:blip>
                    <a:stretch>
                      <a:fillRect/>
                    </a:stretch>
                  </pic:blipFill>
                  <pic:spPr>
                    <a:xfrm>
                      <a:off x="0" y="0"/>
                      <a:ext cx="5848985" cy="4524375"/>
                    </a:xfrm>
                    <a:prstGeom prst="rect">
                      <a:avLst/>
                    </a:prstGeom>
                  </pic:spPr>
                </pic:pic>
              </a:graphicData>
            </a:graphic>
          </wp:anchor>
        </w:drawing>
      </w:r>
    </w:p>
    <w:p w14:paraId="433DA41B" w14:textId="190C2C69" w:rsidR="0089179B" w:rsidRPr="0089179B" w:rsidRDefault="0089179B" w:rsidP="0089179B">
      <w:pPr>
        <w:spacing w:line="240" w:lineRule="auto"/>
        <w:rPr>
          <w:b/>
          <w:sz w:val="18"/>
        </w:rPr>
      </w:pPr>
      <w:r w:rsidRPr="0089179B">
        <w:rPr>
          <w:b/>
          <w:sz w:val="18"/>
        </w:rPr>
        <w:t>Figure 12-6: The PIP</w:t>
      </w:r>
      <w:r w:rsidRPr="0089179B">
        <w:rPr>
          <w:b/>
          <w:sz w:val="18"/>
          <w:vertAlign w:val="subscript"/>
        </w:rPr>
        <w:t>2</w:t>
      </w:r>
      <w:r w:rsidRPr="0089179B">
        <w:rPr>
          <w:b/>
          <w:sz w:val="18"/>
        </w:rPr>
        <w:t>/Ca</w:t>
      </w:r>
      <w:r w:rsidRPr="0089179B">
        <w:rPr>
          <w:b/>
          <w:sz w:val="18"/>
          <w:vertAlign w:val="superscript"/>
        </w:rPr>
        <w:t xml:space="preserve">++ </w:t>
      </w:r>
      <w:r w:rsidRPr="0089179B">
        <w:rPr>
          <w:b/>
          <w:sz w:val="18"/>
        </w:rPr>
        <w:t xml:space="preserve">Signal </w:t>
      </w:r>
      <w:r w:rsidRPr="0089179B">
        <w:rPr>
          <w:b/>
          <w:sz w:val="18"/>
        </w:rPr>
        <w:t>Transduction</w:t>
      </w:r>
      <w:r w:rsidRPr="0089179B">
        <w:rPr>
          <w:sz w:val="18"/>
        </w:rPr>
        <w:t xml:space="preserve">. </w:t>
      </w:r>
      <w:r w:rsidRPr="0089179B">
        <w:rPr>
          <w:sz w:val="18"/>
        </w:rPr>
        <w:t>(A) The G-protein is inactive with GDP bound. (B) Upon ligand binding, G-protein binds to the receptor, exchanges GDP for GTP, and Ga dissociates. (C) Ga-GTP activates PLC, which metabolizes the membrane lipid PIP2 (note: this is abbreviated as “PI” in the figure above) into DAG and IP3. The latter induces Ca2+ release into the cytoplasm and, together with DAG, activates PKC.</w:t>
      </w:r>
    </w:p>
    <w:p w14:paraId="5A5C065E" w14:textId="5D58B982" w:rsidR="00CA61BC" w:rsidRDefault="00CA61BC">
      <w:pPr>
        <w:pStyle w:val="Heading1"/>
      </w:pPr>
    </w:p>
    <w:p w14:paraId="176D1B38" w14:textId="226F8140" w:rsidR="00CA61BC" w:rsidRDefault="007F1B9B">
      <w:pPr>
        <w:pStyle w:val="Heading1"/>
      </w:pPr>
      <w:r>
        <w:t>Receptor Tyrosine Kinases</w:t>
      </w:r>
    </w:p>
    <w:p w14:paraId="4FB9E95E" w14:textId="5C614B65" w:rsidR="00CA61BC" w:rsidRDefault="007F1B9B">
      <w:r>
        <w:rPr>
          <w:b/>
        </w:rPr>
        <w:t>Receptor Tyrosine Kinases (RTKs)</w:t>
      </w:r>
      <w:r>
        <w:t xml:space="preserve"> are cell-surface receptors with intracellular domains that have intrinsic enzymatic activity. RTKs are dimers, meaning they consist of two proteins subunits. When a signaling molecule binds to the extracellular domains of the RTKs, the two halves of the receptor dimerize (the two dimers join together). The intracellular domains of each RTK dimer have kinase enzymatic activity that is only active when the two subunits are brought together after binding the signaling molecule on the surface of the cell. Upon dimerization, the RTK completes </w:t>
      </w:r>
      <w:r>
        <w:rPr>
          <w:b/>
        </w:rPr>
        <w:t>autophosphorylation</w:t>
      </w:r>
      <w:r>
        <w:t xml:space="preserve"> by transferring phosphate groups to tyrosine residues within the receptor itself. The phosphate groups on the intracellular domains provide docking sites for adaptor proteins that initiate an intracellular signaling cascade (Figure 12-7). </w:t>
      </w:r>
    </w:p>
    <w:p w14:paraId="2A3A9391" w14:textId="77777777" w:rsidR="00CA61BC" w:rsidRDefault="00CA61BC"/>
    <w:p w14:paraId="243BE20B" w14:textId="77777777" w:rsidR="0015627F" w:rsidRDefault="0015627F"/>
    <w:p w14:paraId="285B7499" w14:textId="77777777" w:rsidR="00BC5F43" w:rsidRDefault="00BC5F43"/>
    <w:p w14:paraId="0449C03E" w14:textId="45580C74" w:rsidR="00950EF5" w:rsidRPr="0089179B" w:rsidRDefault="00154FC6" w:rsidP="0089179B">
      <w:pPr>
        <w:jc w:val="center"/>
      </w:pPr>
      <w:r>
        <w:rPr>
          <w:noProof/>
        </w:rPr>
        <w:drawing>
          <wp:anchor distT="0" distB="0" distL="114300" distR="114300" simplePos="0" relativeHeight="251664384" behindDoc="0" locked="0" layoutInCell="1" allowOverlap="1" wp14:anchorId="27EF2515" wp14:editId="7A96283F">
            <wp:simplePos x="0" y="0"/>
            <wp:positionH relativeFrom="column">
              <wp:posOffset>1817370</wp:posOffset>
            </wp:positionH>
            <wp:positionV relativeFrom="paragraph">
              <wp:posOffset>1905</wp:posOffset>
            </wp:positionV>
            <wp:extent cx="2862072" cy="5312664"/>
            <wp:effectExtent l="0" t="0" r="0" b="2540"/>
            <wp:wrapTopAndBottom/>
            <wp:docPr id="33" name="image2.jpg" descr="A receptor tyrosine kinase (RTK) is an enzyme-linked receptor comprised of two protein subunits. Binding of a signaling molecule to the extracellular domain causes the receptor to dimerize. Tyrosine residues on the intracellular domain are then autophosphorylated, triggering a downstream cellular response. The signal is terminated by a phosphatase that removes the phosphates from the phosphotyrosine residues" title="Figure 12-7: RTK Activation. "/>
            <wp:cNvGraphicFramePr/>
            <a:graphic xmlns:a="http://schemas.openxmlformats.org/drawingml/2006/main">
              <a:graphicData uri="http://schemas.openxmlformats.org/drawingml/2006/picture">
                <pic:pic xmlns:pic="http://schemas.openxmlformats.org/drawingml/2006/picture">
                  <pic:nvPicPr>
                    <pic:cNvPr id="0" name="image2.jpg" descr="Figure 12-7. RTK Activation. "/>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2862072" cy="5312664"/>
                    </a:xfrm>
                    <a:prstGeom prst="rect">
                      <a:avLst/>
                    </a:prstGeom>
                    <a:ln/>
                  </pic:spPr>
                </pic:pic>
              </a:graphicData>
            </a:graphic>
          </wp:anchor>
        </w:drawing>
      </w:r>
    </w:p>
    <w:p w14:paraId="1C60B802" w14:textId="788391E4" w:rsidR="00CA61BC" w:rsidRPr="0089179B" w:rsidRDefault="007F1B9B" w:rsidP="0089179B">
      <w:pPr>
        <w:spacing w:line="240" w:lineRule="auto"/>
        <w:rPr>
          <w:b/>
          <w:sz w:val="18"/>
        </w:rPr>
      </w:pPr>
      <w:r w:rsidRPr="0089179B">
        <w:rPr>
          <w:b/>
          <w:sz w:val="18"/>
        </w:rPr>
        <w:t>Figure 12-7: RTK Activation.</w:t>
      </w:r>
      <w:r w:rsidRPr="0089179B">
        <w:rPr>
          <w:sz w:val="18"/>
        </w:rPr>
        <w:t xml:space="preserve"> A receptor tyrosine kinase (RTK) is an enzyme-linked receptor comprised of two protein subunits. Binding of a signaling molecule to the extracellular domain causes the receptor to dimerize. Tyrosine residues on the intracellular domain are then </w:t>
      </w:r>
      <w:proofErr w:type="spellStart"/>
      <w:r w:rsidRPr="0089179B">
        <w:rPr>
          <w:sz w:val="18"/>
        </w:rPr>
        <w:t>autophosphorylated</w:t>
      </w:r>
      <w:proofErr w:type="spellEnd"/>
      <w:r w:rsidRPr="0089179B">
        <w:rPr>
          <w:sz w:val="18"/>
        </w:rPr>
        <w:t xml:space="preserve">, triggering a downstream cellular response. The signal is terminated by a phosphatase that removes the phosphates from the </w:t>
      </w:r>
      <w:proofErr w:type="spellStart"/>
      <w:r w:rsidRPr="0089179B">
        <w:rPr>
          <w:sz w:val="18"/>
        </w:rPr>
        <w:t>phosphotyrosine</w:t>
      </w:r>
      <w:proofErr w:type="spellEnd"/>
      <w:r w:rsidRPr="0089179B">
        <w:rPr>
          <w:sz w:val="18"/>
        </w:rPr>
        <w:t xml:space="preserve"> residues.</w:t>
      </w:r>
    </w:p>
    <w:p w14:paraId="457FE205" w14:textId="77777777" w:rsidR="00CA61BC" w:rsidRDefault="00CA61BC"/>
    <w:p w14:paraId="560EA39F" w14:textId="77777777" w:rsidR="00CA61BC" w:rsidRDefault="007F1B9B">
      <w:pPr>
        <w:pStyle w:val="Heading2"/>
      </w:pPr>
      <w:r>
        <w:t>The MAP Kinase Signaling Cascade</w:t>
      </w:r>
    </w:p>
    <w:p w14:paraId="0AA7E162" w14:textId="77777777" w:rsidR="00CA61BC" w:rsidRDefault="007F1B9B">
      <w:r>
        <w:t xml:space="preserve">Signaling molecules called </w:t>
      </w:r>
      <w:r>
        <w:rPr>
          <w:b/>
        </w:rPr>
        <w:t>growth factors (or mitogens)</w:t>
      </w:r>
      <w:r>
        <w:t xml:space="preserve"> stimulate RTKs. As the name implies, growth factors promote cell division. This process is facilitated by the </w:t>
      </w:r>
      <w:r>
        <w:rPr>
          <w:b/>
        </w:rPr>
        <w:t>mitogen activating protein (MAP) kinase signaling cascade</w:t>
      </w:r>
      <w:r>
        <w:t xml:space="preserve">. </w:t>
      </w:r>
    </w:p>
    <w:p w14:paraId="657E1F2D" w14:textId="77777777" w:rsidR="00CA61BC" w:rsidRDefault="00CA61BC"/>
    <w:p w14:paraId="327EF27E" w14:textId="77777777" w:rsidR="00CA61BC" w:rsidRDefault="007F1B9B">
      <w:r>
        <w:lastRenderedPageBreak/>
        <w:t xml:space="preserve">After activation of an RTK receptor, adaptor proteins bind to the phosphate groups now present on the intercellular domains of the receptor. The adaptor proteins recruit the enzyme </w:t>
      </w:r>
      <w:r>
        <w:rPr>
          <w:b/>
        </w:rPr>
        <w:t xml:space="preserve">Ras, </w:t>
      </w:r>
      <w:r>
        <w:t xml:space="preserve">a GTPase. Active Ras (i.e., Ras-GTP) activates MAP Kinase </w:t>
      </w:r>
      <w:proofErr w:type="spellStart"/>
      <w:r>
        <w:t>Kinase</w:t>
      </w:r>
      <w:proofErr w:type="spellEnd"/>
      <w:r>
        <w:t xml:space="preserve"> </w:t>
      </w:r>
      <w:proofErr w:type="spellStart"/>
      <w:r>
        <w:t>Kinase</w:t>
      </w:r>
      <w:proofErr w:type="spellEnd"/>
      <w:r>
        <w:t xml:space="preserve"> (MAPKKK).  MAPKKK then phosphorylates and activates MAP Kinase </w:t>
      </w:r>
      <w:proofErr w:type="spellStart"/>
      <w:r>
        <w:t>Kinase</w:t>
      </w:r>
      <w:proofErr w:type="spellEnd"/>
      <w:r>
        <w:t xml:space="preserve"> (MAPKK). The cascade terminates when MAPKK phosphorylates and activates MAP Kinase (MAPK). Once active, MAPK can phosphorylate several effector proteins to begin cell division (Figure 12-8). </w:t>
      </w:r>
    </w:p>
    <w:p w14:paraId="4B2989E3" w14:textId="77777777" w:rsidR="00CA61BC" w:rsidRDefault="00CA61BC"/>
    <w:p w14:paraId="139BB990" w14:textId="14FD4180" w:rsidR="00CA61BC" w:rsidRDefault="007F1B9B">
      <w:r>
        <w:t>In many types of cancer, Ras is mutated in cancers so that it can no longer hydrolyze GTP to GDP. This results in Ras being constitutively active, leading to sustained activation of the MAP Kinase cascade and uncontrolled cell growth.</w:t>
      </w:r>
    </w:p>
    <w:p w14:paraId="582A7299" w14:textId="2AFAB99A" w:rsidR="00CA61BC" w:rsidRDefault="00154FC6" w:rsidP="00154FC6">
      <w:pPr>
        <w:pStyle w:val="Subtitle"/>
        <w:jc w:val="center"/>
      </w:pPr>
      <w:r>
        <w:rPr>
          <w:noProof/>
        </w:rPr>
        <w:drawing>
          <wp:anchor distT="0" distB="0" distL="114300" distR="114300" simplePos="0" relativeHeight="251665408" behindDoc="0" locked="0" layoutInCell="1" allowOverlap="1" wp14:anchorId="5DE2A6AA" wp14:editId="25A4360A">
            <wp:simplePos x="0" y="0"/>
            <wp:positionH relativeFrom="column">
              <wp:posOffset>140970</wp:posOffset>
            </wp:positionH>
            <wp:positionV relativeFrom="paragraph">
              <wp:posOffset>-1905</wp:posOffset>
            </wp:positionV>
            <wp:extent cx="6217920" cy="3675888"/>
            <wp:effectExtent l="0" t="0" r="0" b="1270"/>
            <wp:wrapTopAndBottom/>
            <wp:docPr id="39" name="image8.png" descr="The MAP Kinase signaling cascade begins the Ras GTPase. Ras-GTP activates MAPKKK (MAP Kinase Kinase Kinase), which in turn phosphorylates and activates MAPKK (MAP Kinase Kinase). MAPKK then phosphorylates and activates MAPK (MAP Kinase). MAPKs activate effector proteins, such as transcription factors, to initiate cell division." title="Figure 12-8: The MAP Kinase Signaling Cascade. "/>
            <wp:cNvGraphicFramePr/>
            <a:graphic xmlns:a="http://schemas.openxmlformats.org/drawingml/2006/main">
              <a:graphicData uri="http://schemas.openxmlformats.org/drawingml/2006/picture">
                <pic:pic xmlns:pic="http://schemas.openxmlformats.org/drawingml/2006/picture">
                  <pic:nvPicPr>
                    <pic:cNvPr id="0" name="image8.png" descr="Figure 12-8. The MAP Kinase Signaling Cascade. "/>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6217920" cy="3675888"/>
                    </a:xfrm>
                    <a:prstGeom prst="rect">
                      <a:avLst/>
                    </a:prstGeom>
                    <a:ln/>
                  </pic:spPr>
                </pic:pic>
              </a:graphicData>
            </a:graphic>
          </wp:anchor>
        </w:drawing>
      </w:r>
    </w:p>
    <w:p w14:paraId="6F7B34A4" w14:textId="77777777" w:rsidR="00CA61BC" w:rsidRPr="0089179B" w:rsidRDefault="007F1B9B" w:rsidP="0089179B">
      <w:pPr>
        <w:spacing w:line="240" w:lineRule="auto"/>
        <w:rPr>
          <w:b/>
          <w:sz w:val="18"/>
        </w:rPr>
      </w:pPr>
      <w:r w:rsidRPr="0089179B">
        <w:rPr>
          <w:b/>
          <w:sz w:val="18"/>
        </w:rPr>
        <w:t>Figure 12-8: The MAP Kinase Signaling Cascade</w:t>
      </w:r>
      <w:r w:rsidRPr="0089179B">
        <w:rPr>
          <w:sz w:val="18"/>
        </w:rPr>
        <w:t xml:space="preserve">. The MAP Kinase signaling cascade begins the Ras GTPase. Ras-GTP activates MAPKKK (MAP Kinase </w:t>
      </w:r>
      <w:proofErr w:type="spellStart"/>
      <w:r w:rsidRPr="0089179B">
        <w:rPr>
          <w:sz w:val="18"/>
        </w:rPr>
        <w:t>Kinase</w:t>
      </w:r>
      <w:proofErr w:type="spellEnd"/>
      <w:r w:rsidRPr="0089179B">
        <w:rPr>
          <w:sz w:val="18"/>
        </w:rPr>
        <w:t xml:space="preserve"> Kinase), which in turn phosphorylates and activates MAPKK (MAP Kinase Kinase). MAPKK then phosphorylates and activates MAPK (MAP Kinase). MAPKs activate effector proteins, such as transcription factors, to initiate cell division.</w:t>
      </w:r>
    </w:p>
    <w:p w14:paraId="649F6858" w14:textId="77777777" w:rsidR="00CA61BC" w:rsidRDefault="00CA61BC"/>
    <w:p w14:paraId="5272E00B" w14:textId="77777777" w:rsidR="00CA61BC" w:rsidRDefault="007F1B9B">
      <w:r>
        <w:t>One example of RTK/MAPK signaling is the cellular response to epidermal growth factor (EGF)</w:t>
      </w:r>
      <w:r w:rsidR="00B528E8">
        <w:t xml:space="preserve"> (Figure 12-9)</w:t>
      </w:r>
      <w:r>
        <w:t>. EGF binds to EGF Receptor (EGFR), an RTK. EGFR stimulates Ras and the MAP Kinase signaling cascade, leading to the activation of effectors that collects stimulate cell growth, cell migration, and angiogenesis (the development of new blood vessels). As such, the over activation of EGFR is implicated in many cancers.</w:t>
      </w:r>
    </w:p>
    <w:p w14:paraId="1C09EB4D" w14:textId="77777777" w:rsidR="00CA61BC" w:rsidRDefault="007F1B9B" w:rsidP="00154FC6">
      <w:pPr>
        <w:jc w:val="center"/>
      </w:pPr>
      <w:r>
        <w:rPr>
          <w:noProof/>
        </w:rPr>
        <w:lastRenderedPageBreak/>
        <w:drawing>
          <wp:anchor distT="0" distB="0" distL="114300" distR="114300" simplePos="0" relativeHeight="251666432" behindDoc="0" locked="0" layoutInCell="1" allowOverlap="1" wp14:anchorId="222F06FE" wp14:editId="0EFA7260">
            <wp:simplePos x="0" y="0"/>
            <wp:positionH relativeFrom="column">
              <wp:posOffset>1817370</wp:posOffset>
            </wp:positionH>
            <wp:positionV relativeFrom="paragraph">
              <wp:posOffset>0</wp:posOffset>
            </wp:positionV>
            <wp:extent cx="2861945" cy="5705475"/>
            <wp:effectExtent l="0" t="0" r="0" b="9525"/>
            <wp:wrapTopAndBottom/>
            <wp:docPr id="34" name="image3.jpg" descr="The epidermal growth factor (EGF) receptor (EGFR) is a receptor tyrosine kinase involved in the regulation of cell growth, wound healing, and tissue repair. When EGF binds to the EGFR, a cascade of downstream events causes the cell to grow and divide. If EGFR is activated at inappropriate times, uncontrolled cell growth (cancer) may occur." title="Figure 12-9: EGFR and Cancer. "/>
            <wp:cNvGraphicFramePr/>
            <a:graphic xmlns:a="http://schemas.openxmlformats.org/drawingml/2006/main">
              <a:graphicData uri="http://schemas.openxmlformats.org/drawingml/2006/picture">
                <pic:pic xmlns:pic="http://schemas.openxmlformats.org/drawingml/2006/picture">
                  <pic:nvPicPr>
                    <pic:cNvPr id="0" name="image3.jpg" descr="Figure 12-9. EGFR and Cancer. "/>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2861945" cy="5705475"/>
                    </a:xfrm>
                    <a:prstGeom prst="rect">
                      <a:avLst/>
                    </a:prstGeom>
                    <a:ln/>
                  </pic:spPr>
                </pic:pic>
              </a:graphicData>
            </a:graphic>
          </wp:anchor>
        </w:drawing>
      </w:r>
    </w:p>
    <w:p w14:paraId="4394B2A1" w14:textId="77777777" w:rsidR="00CA61BC" w:rsidRDefault="00CA61BC">
      <w:pPr>
        <w:pStyle w:val="Subtitle"/>
        <w:jc w:val="both"/>
      </w:pPr>
    </w:p>
    <w:p w14:paraId="3A95932B" w14:textId="77777777" w:rsidR="00CA61BC" w:rsidRPr="0089179B" w:rsidRDefault="007F1B9B" w:rsidP="0089179B">
      <w:pPr>
        <w:spacing w:line="240" w:lineRule="auto"/>
        <w:rPr>
          <w:b/>
          <w:sz w:val="18"/>
        </w:rPr>
      </w:pPr>
      <w:r w:rsidRPr="0089179B">
        <w:rPr>
          <w:b/>
          <w:sz w:val="18"/>
        </w:rPr>
        <w:t>Figure 12-9: EGFR and Cancer.</w:t>
      </w:r>
      <w:r w:rsidRPr="0089179B">
        <w:rPr>
          <w:sz w:val="18"/>
        </w:rPr>
        <w:t xml:space="preserve"> The epidermal growth factor (EGF) receptor (EGFR) is a receptor tyrosine kinase involved in the regulation of cell growth, wound healing, and tissue repair. When EGF binds to the EGFR, a cascade of downstream events causes the cell to grow and divide. If EGFR is activated at inappropriate times, uncontrolled cell growth (cancer) may occur.</w:t>
      </w:r>
    </w:p>
    <w:p w14:paraId="173BB9CE" w14:textId="77777777" w:rsidR="00CA61BC" w:rsidRDefault="00CA61BC"/>
    <w:p w14:paraId="6953DDDD" w14:textId="77777777" w:rsidR="00CA61BC" w:rsidRDefault="007F1B9B">
      <w:pPr>
        <w:pStyle w:val="Heading1"/>
      </w:pPr>
      <w:r>
        <w:t>Complexities in Cell Signaling</w:t>
      </w:r>
    </w:p>
    <w:p w14:paraId="517352CE" w14:textId="20874CE4" w:rsidR="00CA61BC" w:rsidRDefault="00181E76">
      <w:r>
        <w:t>GPCR and RTK pathways, as well as other signaling pathways not discussed in this book, can undergo “cross-talk”</w:t>
      </w:r>
      <w:r w:rsidR="00491C89">
        <w:t>, meaning their intracellular signalin</w:t>
      </w:r>
      <w:r w:rsidR="00B511F3">
        <w:t xml:space="preserve">g pathways converge to elicit cellular responses (Figure 12-10). </w:t>
      </w:r>
      <w:r>
        <w:t xml:space="preserve"> </w:t>
      </w:r>
      <w:r w:rsidR="00491C89">
        <w:t>Thus, s</w:t>
      </w:r>
      <w:r w:rsidR="007F1B9B">
        <w:t>ignaling pathways can ge</w:t>
      </w:r>
      <w:r w:rsidR="00566B62">
        <w:t xml:space="preserve">t very complicated very quickly </w:t>
      </w:r>
      <w:r w:rsidR="007F1B9B">
        <w:t xml:space="preserve">because most cellular proteins can affect different downstream events, depending on the conditions within the cell. A single pathway can branch off toward different endpoints based on the interplay between two or more signaling pathways, and </w:t>
      </w:r>
      <w:r w:rsidR="007F1B9B">
        <w:lastRenderedPageBreak/>
        <w:t>the same ligands are often used to initiate different signals in different cell types. This variation in response is due to differences in protein expression in different cell types. Another complicating element is signal integration of the pathways, in which signals from two or more different cell-surface receptors merge to activate the same response in the cell. This process can ensure that multiple external requirements are met before a cell commits to a specific response.</w:t>
      </w:r>
    </w:p>
    <w:p w14:paraId="503C9BC6" w14:textId="57FFD9DA" w:rsidR="00CA61BC" w:rsidRDefault="00154FC6" w:rsidP="00154FC6">
      <w:pPr>
        <w:jc w:val="center"/>
      </w:pPr>
      <w:r>
        <w:rPr>
          <w:noProof/>
        </w:rPr>
        <w:drawing>
          <wp:anchor distT="0" distB="0" distL="114300" distR="114300" simplePos="0" relativeHeight="251667456" behindDoc="0" locked="0" layoutInCell="1" allowOverlap="1" wp14:anchorId="29642F27" wp14:editId="5AE2BDC2">
            <wp:simplePos x="0" y="0"/>
            <wp:positionH relativeFrom="column">
              <wp:posOffset>807720</wp:posOffset>
            </wp:positionH>
            <wp:positionV relativeFrom="paragraph">
              <wp:posOffset>3175</wp:posOffset>
            </wp:positionV>
            <wp:extent cx="4873625" cy="3575050"/>
            <wp:effectExtent l="0" t="0" r="3175" b="6350"/>
            <wp:wrapTopAndBottom/>
            <wp:docPr id="41" name="image9.png" descr="Often, multiple signaling pathways converge in cell communication." title="Figure 12-10: Interconnecting signaling pathways. "/>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4873625" cy="3575050"/>
                    </a:xfrm>
                    <a:prstGeom prst="rect">
                      <a:avLst/>
                    </a:prstGeom>
                    <a:ln/>
                  </pic:spPr>
                </pic:pic>
              </a:graphicData>
            </a:graphic>
          </wp:anchor>
        </w:drawing>
      </w:r>
    </w:p>
    <w:p w14:paraId="4030ED32" w14:textId="77777777" w:rsidR="00CA61BC" w:rsidRPr="0089179B" w:rsidRDefault="007F1B9B" w:rsidP="0089179B">
      <w:pPr>
        <w:spacing w:line="240" w:lineRule="auto"/>
        <w:rPr>
          <w:sz w:val="18"/>
        </w:rPr>
      </w:pPr>
      <w:bookmarkStart w:id="1" w:name="_GoBack"/>
      <w:r w:rsidRPr="0089179B">
        <w:rPr>
          <w:b/>
          <w:sz w:val="18"/>
        </w:rPr>
        <w:t xml:space="preserve">Figure 12-10: </w:t>
      </w:r>
      <w:r w:rsidR="00A81451" w:rsidRPr="0089179B">
        <w:rPr>
          <w:b/>
          <w:sz w:val="18"/>
        </w:rPr>
        <w:t xml:space="preserve">Interconnecting </w:t>
      </w:r>
      <w:r w:rsidRPr="0089179B">
        <w:rPr>
          <w:b/>
          <w:sz w:val="18"/>
        </w:rPr>
        <w:t>signaling pathways</w:t>
      </w:r>
      <w:bookmarkEnd w:id="1"/>
      <w:r w:rsidRPr="0089179B">
        <w:rPr>
          <w:sz w:val="18"/>
        </w:rPr>
        <w:t>. Often, multiple signaling pathways</w:t>
      </w:r>
      <w:r w:rsidR="00A30254" w:rsidRPr="0089179B">
        <w:rPr>
          <w:sz w:val="18"/>
        </w:rPr>
        <w:t>, such as GPCR and RTK pathways,</w:t>
      </w:r>
      <w:r w:rsidRPr="0089179B">
        <w:rPr>
          <w:sz w:val="18"/>
        </w:rPr>
        <w:t xml:space="preserve"> converge in cell communication</w:t>
      </w:r>
      <w:r w:rsidRPr="0089179B">
        <w:rPr>
          <w:b/>
          <w:sz w:val="18"/>
        </w:rPr>
        <w:t>.</w:t>
      </w:r>
    </w:p>
    <w:p w14:paraId="30087114" w14:textId="77777777" w:rsidR="00CA61BC" w:rsidRDefault="00CA61BC"/>
    <w:p w14:paraId="4EE6E4E8" w14:textId="77777777" w:rsidR="00CA61BC" w:rsidRDefault="007F1B9B">
      <w:r>
        <w:t>Associated Videos:</w:t>
      </w:r>
    </w:p>
    <w:p w14:paraId="0AE86D8E" w14:textId="3434A3C6" w:rsidR="00CA61BC" w:rsidRDefault="0089179B">
      <w:pPr>
        <w:numPr>
          <w:ilvl w:val="0"/>
          <w:numId w:val="1"/>
        </w:numPr>
        <w:pBdr>
          <w:top w:val="nil"/>
          <w:left w:val="nil"/>
          <w:bottom w:val="nil"/>
          <w:right w:val="nil"/>
          <w:between w:val="nil"/>
        </w:pBdr>
        <w:shd w:val="clear" w:color="auto" w:fill="FFFFFF"/>
        <w:spacing w:before="60" w:after="0" w:line="240" w:lineRule="auto"/>
        <w:jc w:val="left"/>
      </w:pPr>
      <w:hyperlink r:id="rId19" w:history="1">
        <w:r w:rsidR="007F1B9B" w:rsidRPr="001231AE">
          <w:rPr>
            <w:rStyle w:val="Hyperlink"/>
          </w:rPr>
          <w:t>Just Pharmacology, G-Protein Coupled Receptor GPCR Structure and functioning</w:t>
        </w:r>
      </w:hyperlink>
    </w:p>
    <w:p w14:paraId="11BF88D3" w14:textId="186C3881" w:rsidR="00CA61BC" w:rsidRDefault="0089179B">
      <w:pPr>
        <w:numPr>
          <w:ilvl w:val="0"/>
          <w:numId w:val="1"/>
        </w:numPr>
        <w:pBdr>
          <w:top w:val="nil"/>
          <w:left w:val="nil"/>
          <w:bottom w:val="nil"/>
          <w:right w:val="nil"/>
          <w:between w:val="nil"/>
        </w:pBdr>
        <w:shd w:val="clear" w:color="auto" w:fill="FFFFFF"/>
        <w:spacing w:after="60" w:line="240" w:lineRule="auto"/>
        <w:jc w:val="left"/>
        <w:rPr>
          <w:rFonts w:ascii="Tahoma" w:eastAsia="Tahoma" w:hAnsi="Tahoma" w:cs="Tahoma"/>
          <w:color w:val="000000"/>
          <w:sz w:val="26"/>
          <w:szCs w:val="26"/>
        </w:rPr>
      </w:pPr>
      <w:hyperlink r:id="rId20" w:history="1">
        <w:r w:rsidR="007F1B9B" w:rsidRPr="001231AE">
          <w:rPr>
            <w:rStyle w:val="Hyperlink"/>
          </w:rPr>
          <w:t>Neural Academy, IP3 DAG Calcium Pathway</w:t>
        </w:r>
      </w:hyperlink>
    </w:p>
    <w:p w14:paraId="7BF0CEE1" w14:textId="77777777" w:rsidR="00CA61BC" w:rsidRDefault="00CA61BC">
      <w:pPr>
        <w:pBdr>
          <w:top w:val="nil"/>
          <w:left w:val="nil"/>
          <w:bottom w:val="nil"/>
          <w:right w:val="nil"/>
          <w:between w:val="nil"/>
        </w:pBdr>
        <w:spacing w:after="0" w:line="240" w:lineRule="auto"/>
        <w:ind w:left="720" w:hanging="720"/>
        <w:rPr>
          <w:color w:val="000000"/>
          <w:sz w:val="20"/>
          <w:szCs w:val="20"/>
        </w:rPr>
      </w:pPr>
    </w:p>
    <w:p w14:paraId="603D91D6" w14:textId="77777777" w:rsidR="00CA61BC" w:rsidRDefault="00CA61BC">
      <w:pPr>
        <w:pBdr>
          <w:top w:val="nil"/>
          <w:left w:val="nil"/>
          <w:bottom w:val="nil"/>
          <w:right w:val="nil"/>
          <w:between w:val="nil"/>
        </w:pBdr>
        <w:spacing w:after="0" w:line="240" w:lineRule="auto"/>
        <w:ind w:left="720" w:hanging="720"/>
        <w:rPr>
          <w:color w:val="000000"/>
          <w:sz w:val="20"/>
          <w:szCs w:val="20"/>
        </w:rPr>
      </w:pPr>
    </w:p>
    <w:p w14:paraId="3510A193" w14:textId="77777777" w:rsidR="00CA61BC" w:rsidRDefault="00CA61BC">
      <w:pPr>
        <w:pBdr>
          <w:top w:val="nil"/>
          <w:left w:val="nil"/>
          <w:bottom w:val="nil"/>
          <w:right w:val="nil"/>
          <w:between w:val="nil"/>
        </w:pBdr>
        <w:spacing w:after="0" w:line="240" w:lineRule="auto"/>
        <w:ind w:left="720" w:hanging="720"/>
        <w:jc w:val="left"/>
        <w:rPr>
          <w:color w:val="000000"/>
          <w:sz w:val="20"/>
          <w:szCs w:val="20"/>
        </w:rPr>
      </w:pPr>
      <w:bookmarkStart w:id="2" w:name="_heading=h.30j0zll" w:colFirst="0" w:colLast="0"/>
      <w:bookmarkEnd w:id="2"/>
    </w:p>
    <w:sectPr w:rsidR="00CA61BC">
      <w:pgSz w:w="12240" w:h="15840"/>
      <w:pgMar w:top="1008" w:right="1008" w:bottom="1008" w:left="1008"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rial Bold">
    <w:panose1 w:val="020B0704020202020204"/>
    <w:charset w:val="00"/>
    <w:family w:val="auto"/>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6EF122B"/>
    <w:multiLevelType w:val="multilevel"/>
    <w:tmpl w:val="397224A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tjQ0Njc2s7Q0MDY3NzdS0lEKTi0uzszPAykwrQUAKOQFvywAAAA="/>
  </w:docVars>
  <w:rsids>
    <w:rsidRoot w:val="00CA61BC"/>
    <w:rsid w:val="00066610"/>
    <w:rsid w:val="001231AE"/>
    <w:rsid w:val="00154FC6"/>
    <w:rsid w:val="0015627F"/>
    <w:rsid w:val="00181E76"/>
    <w:rsid w:val="001E58CA"/>
    <w:rsid w:val="002A3DCD"/>
    <w:rsid w:val="00491C89"/>
    <w:rsid w:val="00566B62"/>
    <w:rsid w:val="007A7292"/>
    <w:rsid w:val="007F1B9B"/>
    <w:rsid w:val="0089179B"/>
    <w:rsid w:val="00950EF5"/>
    <w:rsid w:val="00A30254"/>
    <w:rsid w:val="00A54784"/>
    <w:rsid w:val="00A81451"/>
    <w:rsid w:val="00B511F3"/>
    <w:rsid w:val="00B528E8"/>
    <w:rsid w:val="00BC5F43"/>
    <w:rsid w:val="00C14AAD"/>
    <w:rsid w:val="00CA61BC"/>
    <w:rsid w:val="00CF07D3"/>
    <w:rsid w:val="00D064D7"/>
    <w:rsid w:val="00D661D5"/>
    <w:rsid w:val="00E050C2"/>
    <w:rsid w:val="00E12AEB"/>
    <w:rsid w:val="00EA2308"/>
    <w:rsid w:val="00F5409A"/>
    <w:rsid w:val="00FB4E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0BA05A"/>
  <w15:docId w15:val="{39DFB485-0247-4EBE-8ED8-75BFEFB541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n-US" w:eastAsia="en-US" w:bidi="ar-SA"/>
      </w:rPr>
    </w:rPrDefault>
    <w:pPrDefault>
      <w:pPr>
        <w:spacing w:after="120" w:line="360"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547E8"/>
  </w:style>
  <w:style w:type="paragraph" w:styleId="Heading1">
    <w:name w:val="heading 1"/>
    <w:aliases w:val="Unit Title Level 1"/>
    <w:basedOn w:val="Normal"/>
    <w:next w:val="Normal"/>
    <w:link w:val="Heading1Char"/>
    <w:uiPriority w:val="9"/>
    <w:qFormat/>
    <w:rsid w:val="0061340B"/>
    <w:pPr>
      <w:keepNext/>
      <w:keepLines/>
      <w:spacing w:before="120"/>
      <w:outlineLvl w:val="0"/>
    </w:pPr>
    <w:rPr>
      <w:rFonts w:eastAsiaTheme="majorEastAsia" w:cstheme="majorBidi"/>
      <w:b/>
      <w:sz w:val="32"/>
      <w:szCs w:val="32"/>
    </w:rPr>
  </w:style>
  <w:style w:type="paragraph" w:styleId="Heading2">
    <w:name w:val="heading 2"/>
    <w:aliases w:val="Subtitle Level 2"/>
    <w:basedOn w:val="Normal"/>
    <w:next w:val="Normal"/>
    <w:link w:val="Heading2Char"/>
    <w:uiPriority w:val="9"/>
    <w:unhideWhenUsed/>
    <w:qFormat/>
    <w:rsid w:val="00BF05ED"/>
    <w:pPr>
      <w:keepNext/>
      <w:keepLines/>
      <w:spacing w:before="120"/>
      <w:outlineLvl w:val="1"/>
    </w:pPr>
    <w:rPr>
      <w:rFonts w:eastAsiaTheme="majorEastAsia" w:cstheme="majorBidi"/>
      <w:b/>
      <w:sz w:val="28"/>
      <w:szCs w:val="26"/>
    </w:rPr>
  </w:style>
  <w:style w:type="paragraph" w:styleId="Heading3">
    <w:name w:val="heading 3"/>
    <w:basedOn w:val="Normal"/>
    <w:next w:val="Normal"/>
    <w:link w:val="Heading3Char"/>
    <w:uiPriority w:val="9"/>
    <w:semiHidden/>
    <w:unhideWhenUsed/>
    <w:rsid w:val="00301F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FA3778"/>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aliases w:val="Chapter Title"/>
    <w:basedOn w:val="Normal"/>
    <w:next w:val="Normal"/>
    <w:link w:val="TitleChar"/>
    <w:uiPriority w:val="10"/>
    <w:qFormat/>
    <w:rsid w:val="0061340B"/>
    <w:pPr>
      <w:spacing w:after="0"/>
      <w:contextualSpacing/>
    </w:pPr>
    <w:rPr>
      <w:rFonts w:eastAsiaTheme="majorEastAsia" w:cstheme="majorBidi"/>
      <w:b/>
      <w:spacing w:val="-10"/>
      <w:kern w:val="28"/>
      <w:sz w:val="56"/>
      <w:szCs w:val="56"/>
    </w:rPr>
  </w:style>
  <w:style w:type="character" w:customStyle="1" w:styleId="Heading1Char">
    <w:name w:val="Heading 1 Char"/>
    <w:aliases w:val="Unit Title Level 1 Char"/>
    <w:basedOn w:val="DefaultParagraphFont"/>
    <w:link w:val="Heading1"/>
    <w:uiPriority w:val="9"/>
    <w:rsid w:val="0061340B"/>
    <w:rPr>
      <w:rFonts w:ascii="Arial" w:eastAsiaTheme="majorEastAsia" w:hAnsi="Arial" w:cstheme="majorBidi"/>
      <w:b/>
      <w:sz w:val="32"/>
      <w:szCs w:val="32"/>
    </w:rPr>
  </w:style>
  <w:style w:type="character" w:customStyle="1" w:styleId="Heading2Char">
    <w:name w:val="Heading 2 Char"/>
    <w:aliases w:val="Subtitle Level 2 Char"/>
    <w:basedOn w:val="DefaultParagraphFont"/>
    <w:link w:val="Heading2"/>
    <w:uiPriority w:val="9"/>
    <w:rsid w:val="00BF05ED"/>
    <w:rPr>
      <w:rFonts w:ascii="Arial" w:eastAsiaTheme="majorEastAsia" w:hAnsi="Arial" w:cstheme="majorBidi"/>
      <w:b/>
      <w:sz w:val="28"/>
      <w:szCs w:val="26"/>
    </w:rPr>
  </w:style>
  <w:style w:type="character" w:customStyle="1" w:styleId="TitleChar">
    <w:name w:val="Title Char"/>
    <w:aliases w:val="Chapter Title Char"/>
    <w:basedOn w:val="DefaultParagraphFont"/>
    <w:link w:val="Title"/>
    <w:uiPriority w:val="10"/>
    <w:rsid w:val="0061340B"/>
    <w:rPr>
      <w:rFonts w:ascii="Arial" w:eastAsiaTheme="majorEastAsia" w:hAnsi="Arial" w:cstheme="majorBidi"/>
      <w:b/>
      <w:spacing w:val="-10"/>
      <w:kern w:val="28"/>
      <w:sz w:val="56"/>
      <w:szCs w:val="56"/>
    </w:rPr>
  </w:style>
  <w:style w:type="paragraph" w:styleId="Subtitle">
    <w:name w:val="Subtitle"/>
    <w:basedOn w:val="Normal"/>
    <w:next w:val="Normal"/>
    <w:link w:val="SubtitleChar"/>
    <w:pPr>
      <w:spacing w:before="120" w:line="240" w:lineRule="auto"/>
      <w:jc w:val="left"/>
    </w:pPr>
    <w:rPr>
      <w:b/>
      <w:sz w:val="18"/>
      <w:szCs w:val="18"/>
    </w:rPr>
  </w:style>
  <w:style w:type="character" w:customStyle="1" w:styleId="SubtitleChar">
    <w:name w:val="Subtitle Char"/>
    <w:basedOn w:val="DefaultParagraphFont"/>
    <w:link w:val="Subtitle"/>
    <w:uiPriority w:val="11"/>
    <w:rsid w:val="008547E8"/>
    <w:rPr>
      <w:rFonts w:ascii="Arial" w:eastAsiaTheme="minorEastAsia" w:hAnsi="Arial"/>
      <w:b/>
      <w:sz w:val="18"/>
    </w:rPr>
  </w:style>
  <w:style w:type="character" w:styleId="SubtleEmphasis">
    <w:name w:val="Subtle Emphasis"/>
    <w:aliases w:val="Nucleic Acid Sequences"/>
    <w:basedOn w:val="DefaultParagraphFont"/>
    <w:uiPriority w:val="19"/>
    <w:rsid w:val="00A53E3E"/>
    <w:rPr>
      <w:rFonts w:ascii="Courier New" w:hAnsi="Courier New"/>
      <w:b w:val="0"/>
      <w:i w:val="0"/>
      <w:iCs/>
      <w:color w:val="404040" w:themeColor="text1" w:themeTint="BF"/>
      <w:sz w:val="22"/>
    </w:rPr>
  </w:style>
  <w:style w:type="character" w:styleId="Emphasis">
    <w:name w:val="Emphasis"/>
    <w:basedOn w:val="DefaultParagraphFont"/>
    <w:uiPriority w:val="20"/>
    <w:qFormat/>
    <w:rsid w:val="0061340B"/>
    <w:rPr>
      <w:rFonts w:ascii="Arial" w:hAnsi="Arial"/>
      <w:b/>
      <w:i/>
      <w:iCs/>
    </w:rPr>
  </w:style>
  <w:style w:type="character" w:styleId="Strong">
    <w:name w:val="Strong"/>
    <w:basedOn w:val="DefaultParagraphFont"/>
    <w:uiPriority w:val="22"/>
    <w:qFormat/>
    <w:rsid w:val="0061340B"/>
    <w:rPr>
      <w:rFonts w:ascii="Arial" w:hAnsi="Arial"/>
      <w:b/>
      <w:bCs/>
    </w:rPr>
  </w:style>
  <w:style w:type="paragraph" w:styleId="Quote">
    <w:name w:val="Quote"/>
    <w:basedOn w:val="Normal"/>
    <w:next w:val="Normal"/>
    <w:link w:val="QuoteChar"/>
    <w:uiPriority w:val="29"/>
    <w:qFormat/>
    <w:rsid w:val="0061340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1340B"/>
    <w:rPr>
      <w:rFonts w:ascii="Arial" w:hAnsi="Arial"/>
      <w:i/>
      <w:iCs/>
      <w:color w:val="404040" w:themeColor="text1" w:themeTint="BF"/>
    </w:rPr>
  </w:style>
  <w:style w:type="character" w:styleId="SubtleReference">
    <w:name w:val="Subtle Reference"/>
    <w:aliases w:val="Reference Font"/>
    <w:basedOn w:val="DefaultParagraphFont"/>
    <w:uiPriority w:val="31"/>
    <w:rsid w:val="00A53E3E"/>
    <w:rPr>
      <w:rFonts w:ascii="Arial" w:hAnsi="Arial"/>
      <w:caps w:val="0"/>
      <w:smallCaps w:val="0"/>
      <w:color w:val="5A5A5A" w:themeColor="text1" w:themeTint="A5"/>
      <w:spacing w:val="0"/>
      <w:w w:val="100"/>
      <w:sz w:val="20"/>
    </w:rPr>
  </w:style>
  <w:style w:type="character" w:styleId="IntenseReference">
    <w:name w:val="Intense Reference"/>
    <w:basedOn w:val="DefaultParagraphFont"/>
    <w:uiPriority w:val="32"/>
    <w:rsid w:val="0061340B"/>
    <w:rPr>
      <w:rFonts w:ascii="Arial" w:hAnsi="Arial"/>
      <w:b/>
      <w:bCs/>
      <w:smallCaps/>
      <w:color w:val="auto"/>
      <w:spacing w:val="5"/>
    </w:rPr>
  </w:style>
  <w:style w:type="character" w:styleId="BookTitle">
    <w:name w:val="Book Title"/>
    <w:basedOn w:val="DefaultParagraphFont"/>
    <w:uiPriority w:val="33"/>
    <w:rsid w:val="0061340B"/>
    <w:rPr>
      <w:rFonts w:ascii="Arial" w:hAnsi="Arial"/>
      <w:b/>
      <w:bCs/>
      <w:i/>
      <w:iCs/>
      <w:spacing w:val="5"/>
    </w:rPr>
  </w:style>
  <w:style w:type="paragraph" w:styleId="ListParagraph">
    <w:name w:val="List Paragraph"/>
    <w:basedOn w:val="Normal"/>
    <w:uiPriority w:val="34"/>
    <w:qFormat/>
    <w:rsid w:val="0061340B"/>
    <w:pPr>
      <w:ind w:left="720"/>
      <w:contextualSpacing/>
    </w:pPr>
  </w:style>
  <w:style w:type="paragraph" w:customStyle="1" w:styleId="UnitSub">
    <w:name w:val="Unit Sub"/>
    <w:aliases w:val="Subtitle Level 3"/>
    <w:basedOn w:val="Normal"/>
    <w:next w:val="Normal"/>
    <w:link w:val="UnitSubChar"/>
    <w:qFormat/>
    <w:rsid w:val="008547E8"/>
    <w:pPr>
      <w:contextualSpacing/>
    </w:pPr>
    <w:rPr>
      <w:rFonts w:ascii="Arial Bold" w:hAnsi="Arial Bold"/>
      <w:b/>
    </w:rPr>
  </w:style>
  <w:style w:type="paragraph" w:customStyle="1" w:styleId="Reference">
    <w:name w:val="Reference"/>
    <w:basedOn w:val="Normal"/>
    <w:link w:val="ReferenceChar"/>
    <w:qFormat/>
    <w:rsid w:val="00D56EEE"/>
    <w:pPr>
      <w:spacing w:after="0" w:line="240" w:lineRule="auto"/>
      <w:ind w:left="720" w:hanging="720"/>
      <w:jc w:val="left"/>
    </w:pPr>
    <w:rPr>
      <w:sz w:val="20"/>
    </w:rPr>
  </w:style>
  <w:style w:type="character" w:customStyle="1" w:styleId="UnitSubChar">
    <w:name w:val="Unit Sub Char"/>
    <w:aliases w:val="Subtitle Level 3 Char"/>
    <w:basedOn w:val="DefaultParagraphFont"/>
    <w:link w:val="UnitSub"/>
    <w:rsid w:val="008547E8"/>
    <w:rPr>
      <w:rFonts w:ascii="Arial Bold" w:hAnsi="Arial Bold"/>
      <w:b/>
    </w:rPr>
  </w:style>
  <w:style w:type="character" w:customStyle="1" w:styleId="NucleicAcids">
    <w:name w:val="Nucleic Acids"/>
    <w:uiPriority w:val="1"/>
    <w:rsid w:val="00D75114"/>
    <w:rPr>
      <w:rFonts w:ascii="Courier New" w:hAnsi="Courier New"/>
      <w:caps/>
      <w:smallCaps w:val="0"/>
      <w:sz w:val="20"/>
    </w:rPr>
  </w:style>
  <w:style w:type="character" w:customStyle="1" w:styleId="ReferenceChar">
    <w:name w:val="Reference Char"/>
    <w:basedOn w:val="DefaultParagraphFont"/>
    <w:link w:val="Reference"/>
    <w:rsid w:val="00D56EEE"/>
    <w:rPr>
      <w:rFonts w:ascii="Arial" w:hAnsi="Arial"/>
      <w:sz w:val="20"/>
    </w:rPr>
  </w:style>
  <w:style w:type="paragraph" w:customStyle="1" w:styleId="NucleicAcid">
    <w:name w:val="Nucleic Acid"/>
    <w:link w:val="NucleicAcidChar"/>
    <w:rsid w:val="00D75114"/>
    <w:pPr>
      <w:spacing w:after="0"/>
    </w:pPr>
    <w:rPr>
      <w:rFonts w:ascii="Courier New" w:hAnsi="Courier New"/>
      <w:sz w:val="20"/>
    </w:rPr>
  </w:style>
  <w:style w:type="paragraph" w:customStyle="1" w:styleId="NAcids">
    <w:name w:val="NAcids"/>
    <w:next w:val="Normal"/>
    <w:qFormat/>
    <w:rsid w:val="002F437A"/>
    <w:rPr>
      <w:rFonts w:ascii="Courier New" w:hAnsi="Courier New"/>
      <w:sz w:val="20"/>
    </w:rPr>
  </w:style>
  <w:style w:type="character" w:customStyle="1" w:styleId="NucleicAcidChar">
    <w:name w:val="Nucleic Acid Char"/>
    <w:basedOn w:val="DefaultParagraphFont"/>
    <w:link w:val="NucleicAcid"/>
    <w:rsid w:val="00D75114"/>
    <w:rPr>
      <w:rFonts w:ascii="Courier New" w:hAnsi="Courier New"/>
      <w:sz w:val="20"/>
    </w:rPr>
  </w:style>
  <w:style w:type="paragraph" w:styleId="NormalWeb">
    <w:name w:val="Normal (Web)"/>
    <w:basedOn w:val="Normal"/>
    <w:uiPriority w:val="99"/>
    <w:semiHidden/>
    <w:unhideWhenUsed/>
    <w:rsid w:val="007008DA"/>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008DA"/>
    <w:rPr>
      <w:color w:val="0000FF"/>
      <w:u w:val="single"/>
    </w:rPr>
  </w:style>
  <w:style w:type="paragraph" w:customStyle="1" w:styleId="mt-align-center">
    <w:name w:val="mt-align-center"/>
    <w:basedOn w:val="Normal"/>
    <w:rsid w:val="00156CF4"/>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athjaxpreview">
    <w:name w:val="mathjax_preview"/>
    <w:basedOn w:val="DefaultParagraphFont"/>
    <w:rsid w:val="0065438D"/>
  </w:style>
  <w:style w:type="paragraph" w:customStyle="1" w:styleId="fs-id1662602">
    <w:name w:val="fs-id1662602"/>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HTMLDefinition">
    <w:name w:val="HTML Definition"/>
    <w:basedOn w:val="DefaultParagraphFont"/>
    <w:uiPriority w:val="99"/>
    <w:semiHidden/>
    <w:unhideWhenUsed/>
    <w:rsid w:val="00091B63"/>
    <w:rPr>
      <w:i/>
      <w:iCs/>
    </w:rPr>
  </w:style>
  <w:style w:type="paragraph" w:customStyle="1" w:styleId="eip-783">
    <w:name w:val="eip-783"/>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64358">
    <w:name w:val="fs-id1364358"/>
    <w:basedOn w:val="Normal"/>
    <w:rsid w:val="00091B63"/>
    <w:pPr>
      <w:spacing w:before="100" w:beforeAutospacing="1" w:after="100" w:afterAutospacing="1" w:line="240" w:lineRule="auto"/>
      <w:jc w:val="left"/>
    </w:pPr>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597810"/>
    <w:rPr>
      <w:color w:val="954F72" w:themeColor="followedHyperlink"/>
      <w:u w:val="single"/>
    </w:rPr>
  </w:style>
  <w:style w:type="character" w:customStyle="1" w:styleId="Heading3Char">
    <w:name w:val="Heading 3 Char"/>
    <w:basedOn w:val="DefaultParagraphFont"/>
    <w:link w:val="Heading3"/>
    <w:uiPriority w:val="9"/>
    <w:semiHidden/>
    <w:rsid w:val="00301F1D"/>
    <w:rPr>
      <w:rFonts w:asciiTheme="majorHAnsi" w:eastAsiaTheme="majorEastAsia" w:hAnsiTheme="majorHAnsi" w:cstheme="majorBidi"/>
      <w:color w:val="1F4D78" w:themeColor="accent1" w:themeShade="7F"/>
      <w:szCs w:val="24"/>
    </w:rPr>
  </w:style>
  <w:style w:type="paragraph" w:customStyle="1" w:styleId="fs-id1430610">
    <w:name w:val="fs-id1430610"/>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784">
    <w:name w:val="eip-784"/>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773065">
    <w:name w:val="fs-id1773065"/>
    <w:basedOn w:val="Normal"/>
    <w:rsid w:val="00301F1D"/>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Heading4Char">
    <w:name w:val="Heading 4 Char"/>
    <w:basedOn w:val="DefaultParagraphFont"/>
    <w:link w:val="Heading4"/>
    <w:uiPriority w:val="9"/>
    <w:semiHidden/>
    <w:rsid w:val="00FA3778"/>
    <w:rPr>
      <w:rFonts w:asciiTheme="majorHAnsi" w:eastAsiaTheme="majorEastAsia" w:hAnsiTheme="majorHAnsi" w:cstheme="majorBidi"/>
      <w:i/>
      <w:iCs/>
      <w:color w:val="2E74B5" w:themeColor="accent1" w:themeShade="BF"/>
      <w:sz w:val="22"/>
    </w:rPr>
  </w:style>
  <w:style w:type="paragraph" w:customStyle="1" w:styleId="eip-743">
    <w:name w:val="eip-74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657">
    <w:name w:val="eip-657"/>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82">
    <w:name w:val="eip-182"/>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494">
    <w:name w:val="eip-494"/>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163">
    <w:name w:val="eip-163"/>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eip-250">
    <w:name w:val="eip-250"/>
    <w:basedOn w:val="Normal"/>
    <w:rsid w:val="00FA3778"/>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358496">
    <w:name w:val="fs-id1358496"/>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paragraph" w:customStyle="1" w:styleId="fs-id1561464">
    <w:name w:val="fs-id1561464"/>
    <w:basedOn w:val="Normal"/>
    <w:rsid w:val="005A5D30"/>
    <w:pPr>
      <w:spacing w:before="100" w:beforeAutospacing="1" w:after="100" w:afterAutospacing="1" w:line="240" w:lineRule="auto"/>
      <w:jc w:val="left"/>
    </w:pPr>
    <w:rPr>
      <w:rFonts w:ascii="Times New Roman" w:eastAsia="Times New Roman" w:hAnsi="Times New Roman" w:cs="Times New Roman"/>
      <w:sz w:val="24"/>
      <w:szCs w:val="24"/>
    </w:rPr>
  </w:style>
  <w:style w:type="character" w:customStyle="1" w:styleId="mn">
    <w:name w:val="mn"/>
    <w:basedOn w:val="DefaultParagraphFont"/>
    <w:rsid w:val="008C1D93"/>
  </w:style>
  <w:style w:type="character" w:customStyle="1" w:styleId="mjxassistivemathml">
    <w:name w:val="mjx_assistive_mathml"/>
    <w:basedOn w:val="DefaultParagraphFont"/>
    <w:rsid w:val="008C1D93"/>
  </w:style>
  <w:style w:type="character" w:customStyle="1" w:styleId="author-name">
    <w:name w:val="author-name"/>
    <w:basedOn w:val="DefaultParagraphFont"/>
    <w:rsid w:val="003400E5"/>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B0D3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B0D3D"/>
    <w:rPr>
      <w:rFonts w:ascii="Segoe UI" w:hAnsi="Segoe UI" w:cs="Segoe UI"/>
      <w:sz w:val="18"/>
      <w:szCs w:val="18"/>
    </w:rPr>
  </w:style>
  <w:style w:type="character" w:customStyle="1" w:styleId="UnresolvedMention">
    <w:name w:val="Unresolved Mention"/>
    <w:basedOn w:val="DefaultParagraphFont"/>
    <w:uiPriority w:val="99"/>
    <w:semiHidden/>
    <w:unhideWhenUsed/>
    <w:rsid w:val="001231A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jp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jp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hyperlink" Target="https://www.youtube.com/watch?v=uuDm8nxPtQ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jpg"/><Relationship Id="rId5" Type="http://schemas.openxmlformats.org/officeDocument/2006/relationships/numbering" Target="numbering.xml"/><Relationship Id="rId15" Type="http://schemas.openxmlformats.org/officeDocument/2006/relationships/image" Target="media/image7.jpg"/><Relationship Id="rId10" Type="http://schemas.openxmlformats.org/officeDocument/2006/relationships/image" Target="media/image2.jpg"/><Relationship Id="rId19" Type="http://schemas.openxmlformats.org/officeDocument/2006/relationships/hyperlink" Target="https://www.youtube.com/watch?v=u_3cQqhmVK0" TargetMode="Externa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4.xml><?xml version="1.0" encoding="utf-8"?>
<go:gDocsCustomXmlDataStorage xmlns:go="http://customooxmlschemas.google.com/" xmlns:r="http://schemas.openxmlformats.org/officeDocument/2006/relationships">
  <go:docsCustomData xmlns:go="http://customooxmlschemas.google.com/" roundtripDataSignature="AMtx7mjVvfGwYHifQpeGP/JQrPhmXSUGvg==">AMUW2mXf9kme5+KeqIYCsvFGD9A9lTngPHxJCNd3OtHQ0o94gw4NnOeWtOWO9l7NgPYZEUNRH3deOl3OnklAhTmKGV9Kw+R7ZDtA7Lu6xV73+Dp9gdwlBJtzPAYLOuQxh9P493IIfdAbCZIkZn1e5U35qX1iT2b9+NAA47c5Hy/2xqrl2lSCIf502qjBem4DleIB6PC7r1yQ</go:docsCustomData>
</go:gDocsCustomXmlDataStorage>
</file>

<file path=customXml/itemProps1.xml><?xml version="1.0" encoding="utf-8"?>
<ds:datastoreItem xmlns:ds="http://schemas.openxmlformats.org/officeDocument/2006/customXml" ds:itemID="{33E301EF-1977-47B0-A489-BBDC541AC68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F1B5344-4CC4-46DB-8CB5-CC7795EC491E}">
  <ds:schemaRefs>
    <ds:schemaRef ds:uri="http://schemas.microsoft.com/sharepoint/v3/contenttype/forms"/>
  </ds:schemaRefs>
</ds:datastoreItem>
</file>

<file path=customXml/itemProps3.xml><?xml version="1.0" encoding="utf-8"?>
<ds:datastoreItem xmlns:ds="http://schemas.openxmlformats.org/officeDocument/2006/customXml" ds:itemID="{C4F940FE-D388-424A-9320-DF4974D9F0C9}">
  <ds:schemaRefs>
    <ds:schemaRef ds:uri="http://schemas.microsoft.com/office/2006/metadata/properties"/>
    <ds:schemaRef ds:uri="http://schemas.microsoft.com/office/infopath/2007/PartnerControls"/>
    <ds:schemaRef ds:uri="http://schemas.microsoft.com/sharepoint/v4"/>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10</Pages>
  <Words>1778</Words>
  <Characters>10138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Jennell Talley</dc:creator>
  <cp:lastModifiedBy>Shoshana Katzman</cp:lastModifiedBy>
  <cp:revision>4</cp:revision>
  <cp:lastPrinted>2020-08-06T00:36:00Z</cp:lastPrinted>
  <dcterms:created xsi:type="dcterms:W3CDTF">2020-12-05T00:13:00Z</dcterms:created>
  <dcterms:modified xsi:type="dcterms:W3CDTF">2020-12-07T16:02:00Z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