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A0EC3" w14:textId="494E9864" w:rsidR="00F12B0A" w:rsidRDefault="00F12B0A" w:rsidP="00F12B0A">
      <w:pPr>
        <w:pStyle w:val="Title"/>
      </w:pPr>
      <w:r>
        <w:br/>
      </w:r>
      <w:r w:rsidRPr="004F2656">
        <w:t xml:space="preserve">Transformation Grants </w:t>
      </w:r>
      <w:r>
        <w:t>Final Report</w:t>
      </w:r>
    </w:p>
    <w:p w14:paraId="6D701CF2" w14:textId="77777777" w:rsidR="00F12B0A" w:rsidRDefault="00F12B0A" w:rsidP="00F12B0A">
      <w:pPr>
        <w:pStyle w:val="Heading1"/>
      </w:pPr>
      <w:r>
        <w:t>General Information</w:t>
      </w:r>
    </w:p>
    <w:p w14:paraId="01135286" w14:textId="6EDF8E0F" w:rsidR="00F12B0A" w:rsidRPr="00F12B0A" w:rsidRDefault="00F12B0A" w:rsidP="00F12B0A">
      <w:pPr>
        <w:ind w:left="360"/>
        <w:rPr>
          <w:bCs/>
          <w:sz w:val="24"/>
          <w:szCs w:val="24"/>
        </w:rPr>
      </w:pPr>
      <w:r w:rsidRPr="00F12B0A">
        <w:rPr>
          <w:bCs/>
          <w:sz w:val="24"/>
          <w:szCs w:val="24"/>
        </w:rPr>
        <w:t xml:space="preserve">Date:  </w:t>
      </w:r>
      <w:r>
        <w:rPr>
          <w:bCs/>
          <w:sz w:val="24"/>
          <w:szCs w:val="24"/>
        </w:rPr>
        <w:tab/>
      </w:r>
      <w:r>
        <w:rPr>
          <w:bCs/>
          <w:sz w:val="24"/>
          <w:szCs w:val="24"/>
        </w:rPr>
        <w:tab/>
      </w:r>
      <w:r>
        <w:rPr>
          <w:bCs/>
          <w:sz w:val="24"/>
          <w:szCs w:val="24"/>
        </w:rPr>
        <w:tab/>
      </w:r>
      <w:r w:rsidRPr="00F12B0A">
        <w:rPr>
          <w:b/>
          <w:sz w:val="24"/>
          <w:szCs w:val="24"/>
        </w:rPr>
        <w:t>May 2021</w:t>
      </w:r>
    </w:p>
    <w:p w14:paraId="5D5193A7" w14:textId="5C0F6962" w:rsidR="00F12B0A" w:rsidRPr="00F12B0A" w:rsidRDefault="00F12B0A" w:rsidP="00F12B0A">
      <w:pPr>
        <w:ind w:left="360"/>
        <w:rPr>
          <w:bCs/>
          <w:sz w:val="24"/>
          <w:szCs w:val="24"/>
        </w:rPr>
      </w:pPr>
      <w:r w:rsidRPr="00F12B0A">
        <w:rPr>
          <w:bCs/>
          <w:sz w:val="24"/>
          <w:szCs w:val="24"/>
        </w:rPr>
        <w:t xml:space="preserve">Grant Round: </w:t>
      </w:r>
      <w:r>
        <w:rPr>
          <w:bCs/>
          <w:sz w:val="24"/>
          <w:szCs w:val="24"/>
        </w:rPr>
        <w:tab/>
      </w:r>
      <w:r>
        <w:rPr>
          <w:bCs/>
          <w:sz w:val="24"/>
          <w:szCs w:val="24"/>
        </w:rPr>
        <w:tab/>
      </w:r>
      <w:r w:rsidRPr="00F12B0A">
        <w:rPr>
          <w:b/>
          <w:sz w:val="24"/>
          <w:szCs w:val="24"/>
        </w:rPr>
        <w:t>1</w:t>
      </w:r>
      <w:r w:rsidR="00255486">
        <w:rPr>
          <w:b/>
          <w:sz w:val="24"/>
          <w:szCs w:val="24"/>
        </w:rPr>
        <w:t>6</w:t>
      </w:r>
    </w:p>
    <w:p w14:paraId="1D9A579F" w14:textId="424F7AC7" w:rsidR="00F12B0A" w:rsidRPr="00F12B0A" w:rsidRDefault="00F12B0A" w:rsidP="00F12B0A">
      <w:pPr>
        <w:ind w:left="360"/>
        <w:rPr>
          <w:bCs/>
          <w:sz w:val="24"/>
          <w:szCs w:val="24"/>
        </w:rPr>
      </w:pPr>
      <w:r w:rsidRPr="00F12B0A">
        <w:rPr>
          <w:bCs/>
          <w:sz w:val="24"/>
          <w:szCs w:val="24"/>
        </w:rPr>
        <w:t>Grant Number:</w:t>
      </w:r>
      <w:r w:rsidRPr="00F12B0A">
        <w:rPr>
          <w:b/>
          <w:sz w:val="24"/>
          <w:szCs w:val="24"/>
        </w:rPr>
        <w:t xml:space="preserve"> </w:t>
      </w:r>
      <w:r>
        <w:rPr>
          <w:b/>
          <w:sz w:val="24"/>
          <w:szCs w:val="24"/>
        </w:rPr>
        <w:tab/>
      </w:r>
      <w:r>
        <w:rPr>
          <w:b/>
          <w:sz w:val="24"/>
          <w:szCs w:val="24"/>
        </w:rPr>
        <w:tab/>
      </w:r>
      <w:r w:rsidR="00255486">
        <w:rPr>
          <w:b/>
          <w:sz w:val="24"/>
          <w:szCs w:val="24"/>
        </w:rPr>
        <w:t>520</w:t>
      </w:r>
    </w:p>
    <w:p w14:paraId="4520278F" w14:textId="114E2AE1" w:rsidR="00F12B0A" w:rsidRPr="00F12B0A" w:rsidRDefault="00F12B0A" w:rsidP="00F12B0A">
      <w:pPr>
        <w:ind w:left="360"/>
        <w:rPr>
          <w:bCs/>
          <w:sz w:val="24"/>
          <w:szCs w:val="24"/>
        </w:rPr>
      </w:pPr>
      <w:r w:rsidRPr="00F12B0A">
        <w:rPr>
          <w:bCs/>
          <w:sz w:val="24"/>
          <w:szCs w:val="24"/>
        </w:rPr>
        <w:t xml:space="preserve">Institution Name:  </w:t>
      </w:r>
      <w:r>
        <w:rPr>
          <w:bCs/>
          <w:sz w:val="24"/>
          <w:szCs w:val="24"/>
        </w:rPr>
        <w:tab/>
      </w:r>
      <w:r w:rsidRPr="00F12B0A">
        <w:rPr>
          <w:b/>
          <w:sz w:val="24"/>
          <w:szCs w:val="24"/>
        </w:rPr>
        <w:t>Kennesaw State University</w:t>
      </w:r>
    </w:p>
    <w:p w14:paraId="7D9A66A5" w14:textId="7E661D78" w:rsidR="00F12B0A" w:rsidRPr="00F12B0A" w:rsidRDefault="00F12B0A" w:rsidP="00F12B0A">
      <w:pPr>
        <w:ind w:left="360"/>
        <w:rPr>
          <w:bCs/>
          <w:sz w:val="24"/>
          <w:szCs w:val="24"/>
        </w:rPr>
      </w:pPr>
      <w:r w:rsidRPr="00F12B0A">
        <w:rPr>
          <w:bCs/>
          <w:sz w:val="24"/>
          <w:szCs w:val="24"/>
        </w:rPr>
        <w:t xml:space="preserve">Project Lead: </w:t>
      </w:r>
      <w:r>
        <w:rPr>
          <w:bCs/>
          <w:sz w:val="24"/>
          <w:szCs w:val="24"/>
        </w:rPr>
        <w:tab/>
      </w:r>
      <w:r>
        <w:rPr>
          <w:bCs/>
          <w:sz w:val="24"/>
          <w:szCs w:val="24"/>
        </w:rPr>
        <w:tab/>
      </w:r>
      <w:r w:rsidRPr="00F12B0A">
        <w:rPr>
          <w:b/>
          <w:sz w:val="24"/>
          <w:szCs w:val="24"/>
        </w:rPr>
        <w:t>Daniel Farr</w:t>
      </w:r>
    </w:p>
    <w:p w14:paraId="571697C5" w14:textId="54E804F9" w:rsidR="00F12B0A" w:rsidRPr="00F12B0A" w:rsidRDefault="00F12B0A" w:rsidP="00F12B0A">
      <w:pPr>
        <w:ind w:left="360"/>
        <w:rPr>
          <w:b/>
          <w:sz w:val="24"/>
          <w:szCs w:val="24"/>
        </w:rPr>
      </w:pPr>
      <w:r w:rsidRPr="00F12B0A">
        <w:rPr>
          <w:bCs/>
          <w:sz w:val="24"/>
          <w:szCs w:val="24"/>
        </w:rPr>
        <w:t xml:space="preserve">Team Members:  </w:t>
      </w:r>
      <w:r>
        <w:rPr>
          <w:bCs/>
          <w:sz w:val="24"/>
          <w:szCs w:val="24"/>
        </w:rPr>
        <w:tab/>
      </w:r>
      <w:r>
        <w:rPr>
          <w:bCs/>
          <w:sz w:val="24"/>
          <w:szCs w:val="24"/>
        </w:rPr>
        <w:tab/>
      </w:r>
      <w:r w:rsidRPr="00F12B0A">
        <w:rPr>
          <w:b/>
          <w:sz w:val="24"/>
          <w:szCs w:val="24"/>
        </w:rPr>
        <w:t>Daniel Farr, Senior Lecturer, Dept. of Sociology &amp; Criminal Justice</w:t>
      </w:r>
    </w:p>
    <w:p w14:paraId="5A192014" w14:textId="6F76265A" w:rsidR="0065466C" w:rsidRDefault="00F12B0A" w:rsidP="00CD5DD5">
      <w:pPr>
        <w:ind w:left="2880" w:firstLine="720"/>
        <w:rPr>
          <w:rStyle w:val="Hyperlink"/>
          <w:b/>
          <w:sz w:val="24"/>
          <w:szCs w:val="24"/>
        </w:rPr>
      </w:pPr>
      <w:r w:rsidRPr="00CD5DD5">
        <w:rPr>
          <w:b/>
          <w:sz w:val="24"/>
          <w:szCs w:val="24"/>
        </w:rPr>
        <w:t>Dfarr4@kennesaw.edu</w:t>
      </w:r>
    </w:p>
    <w:p w14:paraId="4F0B2681" w14:textId="77777777" w:rsidR="00895DC9" w:rsidRDefault="00CD5DD5" w:rsidP="00CD5DD5">
      <w:pPr>
        <w:rPr>
          <w:b/>
          <w:sz w:val="24"/>
          <w:szCs w:val="24"/>
        </w:rPr>
      </w:pPr>
      <w:r>
        <w:rPr>
          <w:rStyle w:val="Hyperlink"/>
          <w:b/>
          <w:sz w:val="24"/>
          <w:szCs w:val="24"/>
          <w:u w:val="none"/>
        </w:rPr>
        <w:tab/>
      </w:r>
      <w:r>
        <w:rPr>
          <w:rStyle w:val="Hyperlink"/>
          <w:b/>
          <w:sz w:val="24"/>
          <w:szCs w:val="24"/>
          <w:u w:val="none"/>
        </w:rPr>
        <w:tab/>
      </w:r>
      <w:r>
        <w:rPr>
          <w:rStyle w:val="Hyperlink"/>
          <w:b/>
          <w:sz w:val="24"/>
          <w:szCs w:val="24"/>
          <w:u w:val="none"/>
        </w:rPr>
        <w:tab/>
      </w:r>
      <w:r>
        <w:rPr>
          <w:rStyle w:val="Hyperlink"/>
          <w:b/>
          <w:sz w:val="24"/>
          <w:szCs w:val="24"/>
          <w:u w:val="none"/>
        </w:rPr>
        <w:tab/>
      </w:r>
      <w:r w:rsidR="00583628" w:rsidRPr="00895DC9">
        <w:rPr>
          <w:rStyle w:val="Hyperlink"/>
          <w:b/>
          <w:color w:val="auto"/>
          <w:sz w:val="24"/>
          <w:szCs w:val="24"/>
          <w:u w:val="none"/>
        </w:rPr>
        <w:t xml:space="preserve">Joel Crombez, Assistant Professor, </w:t>
      </w:r>
      <w:r w:rsidR="00583628" w:rsidRPr="00F12B0A">
        <w:rPr>
          <w:b/>
          <w:sz w:val="24"/>
          <w:szCs w:val="24"/>
        </w:rPr>
        <w:t xml:space="preserve">Dept. of Sociology &amp; Criminal </w:t>
      </w:r>
    </w:p>
    <w:p w14:paraId="49CA5B7B" w14:textId="4C43986C" w:rsidR="00583628" w:rsidRDefault="00583628" w:rsidP="00895DC9">
      <w:pPr>
        <w:ind w:left="2880" w:firstLine="720"/>
        <w:rPr>
          <w:b/>
          <w:sz w:val="24"/>
          <w:szCs w:val="24"/>
        </w:rPr>
      </w:pPr>
      <w:r w:rsidRPr="00F12B0A">
        <w:rPr>
          <w:b/>
          <w:sz w:val="24"/>
          <w:szCs w:val="24"/>
        </w:rPr>
        <w:t>Justice</w:t>
      </w:r>
      <w:r w:rsidR="00895DC9">
        <w:rPr>
          <w:b/>
          <w:sz w:val="24"/>
          <w:szCs w:val="24"/>
        </w:rPr>
        <w:t xml:space="preserve">; </w:t>
      </w:r>
      <w:r w:rsidRPr="00895DC9">
        <w:rPr>
          <w:b/>
          <w:sz w:val="24"/>
          <w:szCs w:val="24"/>
        </w:rPr>
        <w:t>jcrombez@kennesaw.edu</w:t>
      </w:r>
    </w:p>
    <w:p w14:paraId="3A7CB49E" w14:textId="6CA9D203" w:rsidR="00583628" w:rsidRDefault="00583628" w:rsidP="00CD5DD5">
      <w:pPr>
        <w:rPr>
          <w:b/>
          <w:sz w:val="24"/>
          <w:szCs w:val="24"/>
        </w:rPr>
      </w:pPr>
      <w:r>
        <w:rPr>
          <w:b/>
          <w:sz w:val="24"/>
          <w:szCs w:val="24"/>
        </w:rPr>
        <w:tab/>
      </w:r>
      <w:r>
        <w:rPr>
          <w:b/>
          <w:sz w:val="24"/>
          <w:szCs w:val="24"/>
        </w:rPr>
        <w:tab/>
      </w:r>
      <w:r>
        <w:rPr>
          <w:b/>
          <w:sz w:val="24"/>
          <w:szCs w:val="24"/>
        </w:rPr>
        <w:tab/>
      </w:r>
      <w:r>
        <w:rPr>
          <w:b/>
          <w:sz w:val="24"/>
          <w:szCs w:val="24"/>
        </w:rPr>
        <w:tab/>
      </w:r>
      <w:r w:rsidR="00D23683">
        <w:rPr>
          <w:b/>
          <w:sz w:val="24"/>
          <w:szCs w:val="24"/>
        </w:rPr>
        <w:t xml:space="preserve">Wendell Johnson, Lecturer, </w:t>
      </w:r>
      <w:r w:rsidR="00D23683" w:rsidRPr="00F12B0A">
        <w:rPr>
          <w:b/>
          <w:sz w:val="24"/>
          <w:szCs w:val="24"/>
        </w:rPr>
        <w:t>Dept. of Sociology &amp; Criminal Justice</w:t>
      </w:r>
    </w:p>
    <w:p w14:paraId="49EAA5C4" w14:textId="776F82B7" w:rsidR="00D23683" w:rsidRDefault="00D23683" w:rsidP="00CD5DD5">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sidRPr="00895DC9">
        <w:rPr>
          <w:b/>
          <w:sz w:val="24"/>
          <w:szCs w:val="24"/>
        </w:rPr>
        <w:t>Wjohn129@kennesaw.edu</w:t>
      </w:r>
    </w:p>
    <w:p w14:paraId="54D8981D" w14:textId="77777777" w:rsidR="00895DC9" w:rsidRDefault="00D23683" w:rsidP="00895DC9">
      <w:pPr>
        <w:ind w:left="2880"/>
        <w:rPr>
          <w:b/>
          <w:sz w:val="24"/>
          <w:szCs w:val="24"/>
        </w:rPr>
      </w:pPr>
      <w:r>
        <w:rPr>
          <w:b/>
          <w:sz w:val="24"/>
          <w:szCs w:val="24"/>
        </w:rPr>
        <w:t xml:space="preserve">Cristina Stephens, Associate Professor, </w:t>
      </w:r>
      <w:r w:rsidRPr="00F12B0A">
        <w:rPr>
          <w:b/>
          <w:sz w:val="24"/>
          <w:szCs w:val="24"/>
        </w:rPr>
        <w:t xml:space="preserve">Dept. of Sociology &amp; </w:t>
      </w:r>
    </w:p>
    <w:p w14:paraId="1F4884C1" w14:textId="1BC4EF3B" w:rsidR="00CD5DD5" w:rsidRDefault="00D23683" w:rsidP="00895DC9">
      <w:pPr>
        <w:ind w:left="2880" w:firstLine="720"/>
        <w:rPr>
          <w:rStyle w:val="Hyperlink"/>
          <w:b/>
          <w:color w:val="auto"/>
          <w:sz w:val="24"/>
          <w:szCs w:val="24"/>
          <w:u w:val="none"/>
        </w:rPr>
      </w:pPr>
      <w:r w:rsidRPr="00F12B0A">
        <w:rPr>
          <w:b/>
          <w:sz w:val="24"/>
          <w:szCs w:val="24"/>
        </w:rPr>
        <w:t>Criminal Justice</w:t>
      </w:r>
      <w:r w:rsidR="00895DC9">
        <w:rPr>
          <w:b/>
          <w:sz w:val="24"/>
          <w:szCs w:val="24"/>
        </w:rPr>
        <w:t xml:space="preserve">; </w:t>
      </w:r>
      <w:r w:rsidR="00895DC9" w:rsidRPr="00B60A4F">
        <w:rPr>
          <w:b/>
          <w:sz w:val="24"/>
          <w:szCs w:val="24"/>
        </w:rPr>
        <w:t>Cstep123@kennesaw.edu</w:t>
      </w:r>
    </w:p>
    <w:p w14:paraId="7CC9DB53" w14:textId="649D2A0C" w:rsidR="00895DC9" w:rsidRDefault="00895DC9" w:rsidP="00B60A4F">
      <w:pPr>
        <w:ind w:left="2160" w:firstLine="720"/>
        <w:rPr>
          <w:b/>
          <w:sz w:val="24"/>
          <w:szCs w:val="24"/>
        </w:rPr>
      </w:pPr>
      <w:r>
        <w:rPr>
          <w:rStyle w:val="Hyperlink"/>
          <w:b/>
          <w:color w:val="auto"/>
          <w:sz w:val="24"/>
          <w:szCs w:val="24"/>
          <w:u w:val="none"/>
        </w:rPr>
        <w:t xml:space="preserve">Linda Treiber, Professor, </w:t>
      </w:r>
      <w:r w:rsidRPr="00F12B0A">
        <w:rPr>
          <w:b/>
          <w:sz w:val="24"/>
          <w:szCs w:val="24"/>
        </w:rPr>
        <w:t>Dept. of Sociology &amp; Criminal Justice</w:t>
      </w:r>
    </w:p>
    <w:p w14:paraId="2F924A1B" w14:textId="3CB3E462" w:rsidR="00895DC9" w:rsidRDefault="00B60A4F" w:rsidP="00B60A4F">
      <w:pPr>
        <w:ind w:left="2880" w:firstLine="720"/>
        <w:rPr>
          <w:b/>
          <w:sz w:val="24"/>
          <w:szCs w:val="24"/>
        </w:rPr>
      </w:pPr>
      <w:r w:rsidRPr="00B60A4F">
        <w:rPr>
          <w:b/>
          <w:sz w:val="24"/>
          <w:szCs w:val="24"/>
        </w:rPr>
        <w:t>ltreiber@kennesaw.edu</w:t>
      </w:r>
    </w:p>
    <w:p w14:paraId="24534C92" w14:textId="6D7DBEBA" w:rsidR="00B60A4F" w:rsidRDefault="00B60A4F" w:rsidP="00B60A4F">
      <w:pPr>
        <w:ind w:left="2160" w:firstLine="720"/>
        <w:rPr>
          <w:b/>
          <w:sz w:val="24"/>
          <w:szCs w:val="24"/>
        </w:rPr>
      </w:pPr>
      <w:r>
        <w:rPr>
          <w:b/>
          <w:sz w:val="24"/>
          <w:szCs w:val="24"/>
        </w:rPr>
        <w:t xml:space="preserve">William White, Lecturer, </w:t>
      </w:r>
      <w:r w:rsidRPr="00F12B0A">
        <w:rPr>
          <w:b/>
          <w:sz w:val="24"/>
          <w:szCs w:val="24"/>
        </w:rPr>
        <w:t>Dept. of Sociology &amp; Criminal Justice</w:t>
      </w:r>
    </w:p>
    <w:p w14:paraId="0C0AC435" w14:textId="18F09B19" w:rsidR="00B60A4F" w:rsidRPr="00895DC9" w:rsidRDefault="00B60A4F" w:rsidP="00895DC9">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Wwhite61@kennesaw.edu</w:t>
      </w:r>
    </w:p>
    <w:p w14:paraId="48FECD30" w14:textId="1FD56273" w:rsidR="00F12B0A" w:rsidRPr="00F12B0A" w:rsidRDefault="00F12B0A" w:rsidP="00F12B0A">
      <w:pPr>
        <w:ind w:left="360"/>
        <w:rPr>
          <w:bCs/>
          <w:sz w:val="24"/>
          <w:szCs w:val="24"/>
        </w:rPr>
      </w:pPr>
      <w:r w:rsidRPr="00F12B0A">
        <w:rPr>
          <w:bCs/>
          <w:sz w:val="24"/>
          <w:szCs w:val="24"/>
        </w:rPr>
        <w:t>Course Name a</w:t>
      </w:r>
      <w:r>
        <w:rPr>
          <w:bCs/>
          <w:sz w:val="24"/>
          <w:szCs w:val="24"/>
        </w:rPr>
        <w:t>nd</w:t>
      </w:r>
      <w:r w:rsidRPr="00F12B0A">
        <w:rPr>
          <w:bCs/>
          <w:sz w:val="24"/>
          <w:szCs w:val="24"/>
        </w:rPr>
        <w:t xml:space="preserve"> Number:</w:t>
      </w:r>
      <w:r>
        <w:rPr>
          <w:bCs/>
          <w:sz w:val="24"/>
          <w:szCs w:val="24"/>
        </w:rPr>
        <w:tab/>
      </w:r>
      <w:r w:rsidR="00255486">
        <w:rPr>
          <w:b/>
          <w:sz w:val="24"/>
          <w:szCs w:val="24"/>
        </w:rPr>
        <w:t>Soci1101: Introduction to Sociology (Large-Scale)</w:t>
      </w:r>
    </w:p>
    <w:p w14:paraId="721288B2" w14:textId="60D83DDB" w:rsidR="00F12B0A" w:rsidRPr="00F12B0A" w:rsidRDefault="00F12B0A" w:rsidP="00F12B0A">
      <w:pPr>
        <w:ind w:left="360"/>
        <w:rPr>
          <w:bCs/>
          <w:sz w:val="24"/>
          <w:szCs w:val="24"/>
        </w:rPr>
      </w:pPr>
      <w:r w:rsidRPr="00F12B0A">
        <w:rPr>
          <w:bCs/>
          <w:sz w:val="24"/>
          <w:szCs w:val="24"/>
        </w:rPr>
        <w:t>Semester Project Began:</w:t>
      </w:r>
      <w:r>
        <w:rPr>
          <w:bCs/>
          <w:sz w:val="24"/>
          <w:szCs w:val="24"/>
        </w:rPr>
        <w:tab/>
      </w:r>
      <w:r>
        <w:rPr>
          <w:bCs/>
          <w:sz w:val="24"/>
          <w:szCs w:val="24"/>
        </w:rPr>
        <w:tab/>
      </w:r>
      <w:r>
        <w:rPr>
          <w:bCs/>
          <w:sz w:val="24"/>
          <w:szCs w:val="24"/>
        </w:rPr>
        <w:tab/>
      </w:r>
      <w:r w:rsidR="00B60A4F">
        <w:rPr>
          <w:b/>
          <w:sz w:val="24"/>
          <w:szCs w:val="24"/>
        </w:rPr>
        <w:t>Summer</w:t>
      </w:r>
      <w:r w:rsidRPr="00F12B0A">
        <w:rPr>
          <w:b/>
          <w:sz w:val="24"/>
          <w:szCs w:val="24"/>
        </w:rPr>
        <w:t xml:space="preserve"> 2020</w:t>
      </w:r>
    </w:p>
    <w:p w14:paraId="4C1301D6" w14:textId="6B7DA56A" w:rsidR="00F12B0A" w:rsidRPr="00F12B0A" w:rsidRDefault="00F12B0A" w:rsidP="00F12B0A">
      <w:pPr>
        <w:ind w:left="360"/>
        <w:rPr>
          <w:bCs/>
          <w:sz w:val="24"/>
          <w:szCs w:val="24"/>
        </w:rPr>
      </w:pPr>
      <w:r w:rsidRPr="00F12B0A">
        <w:rPr>
          <w:bCs/>
          <w:sz w:val="24"/>
          <w:szCs w:val="24"/>
        </w:rPr>
        <w:t>Final Semester of Implementation:</w:t>
      </w:r>
      <w:r>
        <w:rPr>
          <w:bCs/>
          <w:sz w:val="24"/>
          <w:szCs w:val="24"/>
        </w:rPr>
        <w:tab/>
      </w:r>
      <w:r w:rsidRPr="00F12B0A">
        <w:rPr>
          <w:b/>
          <w:sz w:val="24"/>
          <w:szCs w:val="24"/>
        </w:rPr>
        <w:t>Spring 2021</w:t>
      </w:r>
    </w:p>
    <w:p w14:paraId="103A3B3F" w14:textId="1D2D9DF4" w:rsidR="00F12B0A" w:rsidRPr="00F12B0A" w:rsidRDefault="00F12B0A" w:rsidP="00F12B0A">
      <w:pPr>
        <w:ind w:left="360"/>
        <w:rPr>
          <w:bCs/>
          <w:sz w:val="24"/>
          <w:szCs w:val="24"/>
        </w:rPr>
      </w:pPr>
      <w:r w:rsidRPr="00F12B0A">
        <w:rPr>
          <w:bCs/>
          <w:sz w:val="24"/>
          <w:szCs w:val="24"/>
        </w:rPr>
        <w:t>Total Number of Students Affected During Project:</w:t>
      </w:r>
      <w:r>
        <w:rPr>
          <w:bCs/>
          <w:sz w:val="24"/>
          <w:szCs w:val="24"/>
        </w:rPr>
        <w:t xml:space="preserve"> </w:t>
      </w:r>
      <w:r>
        <w:rPr>
          <w:bCs/>
          <w:sz w:val="24"/>
          <w:szCs w:val="24"/>
        </w:rPr>
        <w:tab/>
      </w:r>
      <w:r w:rsidR="00742C1A">
        <w:rPr>
          <w:b/>
          <w:sz w:val="24"/>
          <w:szCs w:val="24"/>
        </w:rPr>
        <w:t>806</w:t>
      </w:r>
    </w:p>
    <w:p w14:paraId="24FFA4D3" w14:textId="77777777" w:rsidR="00F12B0A" w:rsidRDefault="00F12B0A" w:rsidP="00F12B0A">
      <w:pPr>
        <w:rPr>
          <w:b/>
          <w:sz w:val="24"/>
          <w:szCs w:val="24"/>
        </w:rPr>
      </w:pPr>
    </w:p>
    <w:p w14:paraId="7E62EA52" w14:textId="77777777" w:rsidR="00F12B0A" w:rsidRDefault="00F12B0A" w:rsidP="00F12B0A">
      <w:pPr>
        <w:rPr>
          <w:b/>
          <w:sz w:val="24"/>
          <w:szCs w:val="24"/>
        </w:rPr>
      </w:pPr>
    </w:p>
    <w:p w14:paraId="33C44A6B" w14:textId="77777777" w:rsidR="00F12B0A" w:rsidRPr="00E346F0" w:rsidRDefault="00F12B0A" w:rsidP="00F12B0A">
      <w:pPr>
        <w:pStyle w:val="Heading1"/>
        <w:numPr>
          <w:ilvl w:val="0"/>
          <w:numId w:val="7"/>
        </w:numPr>
        <w:ind w:left="360"/>
      </w:pPr>
      <w:r w:rsidRPr="00E346F0">
        <w:lastRenderedPageBreak/>
        <w:t>Narrative</w:t>
      </w:r>
    </w:p>
    <w:p w14:paraId="0C67C3D0" w14:textId="19CE1A3B" w:rsidR="00F12B0A" w:rsidRPr="00E346F0" w:rsidRDefault="00F12B0A" w:rsidP="00F12B0A">
      <w:pPr>
        <w:pStyle w:val="ListParagraph"/>
        <w:numPr>
          <w:ilvl w:val="1"/>
          <w:numId w:val="7"/>
        </w:numPr>
        <w:ind w:left="720"/>
        <w:rPr>
          <w:b/>
          <w:bCs/>
          <w:i/>
          <w:iCs/>
          <w:sz w:val="24"/>
          <w:szCs w:val="24"/>
        </w:rPr>
      </w:pPr>
      <w:r w:rsidRPr="00E346F0">
        <w:rPr>
          <w:b/>
          <w:bCs/>
          <w:i/>
          <w:iCs/>
          <w:sz w:val="24"/>
          <w:szCs w:val="24"/>
        </w:rPr>
        <w:t>Describe the key outcomes, whether positive, negative, or interesting, of your project.  Include:</w:t>
      </w:r>
    </w:p>
    <w:p w14:paraId="059D0001" w14:textId="108C0AF3" w:rsidR="00742C1A" w:rsidRPr="00E346F0" w:rsidRDefault="00742C1A" w:rsidP="00866B01">
      <w:pPr>
        <w:spacing w:line="360" w:lineRule="auto"/>
        <w:ind w:firstLine="360"/>
        <w:rPr>
          <w:sz w:val="24"/>
          <w:szCs w:val="24"/>
        </w:rPr>
      </w:pPr>
      <w:r w:rsidRPr="00E346F0">
        <w:rPr>
          <w:sz w:val="24"/>
          <w:szCs w:val="24"/>
        </w:rPr>
        <w:t xml:space="preserve">This </w:t>
      </w:r>
      <w:r w:rsidR="00B511BB" w:rsidRPr="00E346F0">
        <w:rPr>
          <w:sz w:val="24"/>
          <w:szCs w:val="24"/>
        </w:rPr>
        <w:t xml:space="preserve">project was a large-scale implementation of no- or low-cost instructional resources among </w:t>
      </w:r>
      <w:r w:rsidR="00B411AF" w:rsidRPr="00E346F0">
        <w:rPr>
          <w:sz w:val="24"/>
          <w:szCs w:val="24"/>
        </w:rPr>
        <w:t>several</w:t>
      </w:r>
      <w:r w:rsidR="00B511BB" w:rsidRPr="00E346F0">
        <w:rPr>
          <w:sz w:val="24"/>
          <w:szCs w:val="24"/>
        </w:rPr>
        <w:t xml:space="preserve"> faculty teaching Soci1101: Introduction to Sociology at Kennesaw State University.  </w:t>
      </w:r>
      <w:r w:rsidR="003F6D3C" w:rsidRPr="00E346F0">
        <w:rPr>
          <w:sz w:val="24"/>
          <w:szCs w:val="24"/>
        </w:rPr>
        <w:t>This project resulted in 17 sections of Soci1101</w:t>
      </w:r>
      <w:r w:rsidR="00746C6F" w:rsidRPr="00E346F0">
        <w:rPr>
          <w:sz w:val="24"/>
          <w:szCs w:val="24"/>
        </w:rPr>
        <w:t xml:space="preserve"> (806 students)</w:t>
      </w:r>
      <w:r w:rsidR="003F6D3C" w:rsidRPr="00E346F0">
        <w:rPr>
          <w:sz w:val="24"/>
          <w:szCs w:val="24"/>
        </w:rPr>
        <w:t>, among 6 faculty</w:t>
      </w:r>
      <w:r w:rsidR="0049119B" w:rsidRPr="00E346F0">
        <w:rPr>
          <w:sz w:val="24"/>
          <w:szCs w:val="24"/>
        </w:rPr>
        <w:t>,</w:t>
      </w:r>
      <w:r w:rsidR="003F6D3C" w:rsidRPr="00E346F0">
        <w:rPr>
          <w:sz w:val="24"/>
          <w:szCs w:val="24"/>
        </w:rPr>
        <w:t xml:space="preserve"> being taught with </w:t>
      </w:r>
      <w:r w:rsidR="0052083F" w:rsidRPr="00E346F0">
        <w:rPr>
          <w:sz w:val="24"/>
          <w:szCs w:val="24"/>
        </w:rPr>
        <w:t>lower cost resources and student savings of over $70,000 this past year.  Among the faculty involved, Farr was previously involved with an initial transformation of Soci1101</w:t>
      </w:r>
      <w:r w:rsidR="00515343" w:rsidRPr="00E346F0">
        <w:rPr>
          <w:sz w:val="24"/>
          <w:szCs w:val="24"/>
        </w:rPr>
        <w:t xml:space="preserve"> from a prior Affordable Learning Grant in Round 2 (grant #143).  </w:t>
      </w:r>
      <w:r w:rsidR="0072301F" w:rsidRPr="00E346F0">
        <w:rPr>
          <w:sz w:val="24"/>
          <w:szCs w:val="24"/>
        </w:rPr>
        <w:t>Based on current course schedules and faculty book orders,</w:t>
      </w:r>
      <w:r w:rsidR="00866F6E" w:rsidRPr="00E346F0">
        <w:rPr>
          <w:sz w:val="24"/>
          <w:szCs w:val="24"/>
        </w:rPr>
        <w:t xml:space="preserve"> with grant participants planning to continue to use these lower/no cost options</w:t>
      </w:r>
      <w:r w:rsidR="009F3FC6">
        <w:rPr>
          <w:sz w:val="24"/>
          <w:szCs w:val="24"/>
        </w:rPr>
        <w:t>.</w:t>
      </w:r>
      <w:r w:rsidR="0072301F" w:rsidRPr="00E346F0">
        <w:rPr>
          <w:sz w:val="24"/>
          <w:szCs w:val="24"/>
        </w:rPr>
        <w:t xml:space="preserve"> </w:t>
      </w:r>
      <w:r w:rsidR="009F3FC6">
        <w:rPr>
          <w:sz w:val="24"/>
          <w:szCs w:val="24"/>
        </w:rPr>
        <w:t>A</w:t>
      </w:r>
      <w:r w:rsidR="0072301F" w:rsidRPr="00E346F0">
        <w:rPr>
          <w:sz w:val="24"/>
          <w:szCs w:val="24"/>
        </w:rPr>
        <w:t>nother 350 students are expected to be impacted by this transformation by the end of 2021.</w:t>
      </w:r>
    </w:p>
    <w:p w14:paraId="456D271E" w14:textId="542833AF" w:rsidR="00312C2F" w:rsidRPr="00E346F0" w:rsidRDefault="0072301F" w:rsidP="00312C2F">
      <w:pPr>
        <w:spacing w:line="360" w:lineRule="auto"/>
        <w:ind w:firstLine="360"/>
        <w:rPr>
          <w:sz w:val="24"/>
          <w:szCs w:val="24"/>
        </w:rPr>
      </w:pPr>
      <w:r w:rsidRPr="00E346F0">
        <w:rPr>
          <w:sz w:val="24"/>
          <w:szCs w:val="24"/>
        </w:rPr>
        <w:t xml:space="preserve">Among the six faculty involved, </w:t>
      </w:r>
      <w:r w:rsidR="00116CB9" w:rsidRPr="00E346F0">
        <w:rPr>
          <w:sz w:val="24"/>
          <w:szCs w:val="24"/>
        </w:rPr>
        <w:t>five</w:t>
      </w:r>
      <w:r w:rsidRPr="00E346F0">
        <w:rPr>
          <w:sz w:val="24"/>
          <w:szCs w:val="24"/>
        </w:rPr>
        <w:t xml:space="preserve"> chose to work with the OpenStax</w:t>
      </w:r>
      <w:r w:rsidR="00116CB9" w:rsidRPr="00E346F0">
        <w:rPr>
          <w:sz w:val="24"/>
          <w:szCs w:val="24"/>
        </w:rPr>
        <w:t xml:space="preserve">, </w:t>
      </w:r>
      <w:r w:rsidR="00116CB9" w:rsidRPr="00E346F0">
        <w:rPr>
          <w:i/>
          <w:iCs/>
          <w:sz w:val="24"/>
          <w:szCs w:val="24"/>
        </w:rPr>
        <w:t>Introduction to Sociology 2e</w:t>
      </w:r>
      <w:r w:rsidR="00116CB9" w:rsidRPr="00E346F0">
        <w:rPr>
          <w:sz w:val="24"/>
          <w:szCs w:val="24"/>
        </w:rPr>
        <w:t xml:space="preserve"> textbook (</w:t>
      </w:r>
      <w:hyperlink r:id="rId5" w:history="1">
        <w:r w:rsidR="00116CB9" w:rsidRPr="00E346F0">
          <w:rPr>
            <w:rStyle w:val="Hyperlink"/>
            <w:sz w:val="24"/>
            <w:szCs w:val="24"/>
          </w:rPr>
          <w:t>https://openstax.org/details/books/introduction-sociology-2e</w:t>
        </w:r>
      </w:hyperlink>
      <w:r w:rsidR="00116CB9" w:rsidRPr="00E346F0">
        <w:rPr>
          <w:sz w:val="24"/>
          <w:szCs w:val="24"/>
        </w:rPr>
        <w:t xml:space="preserve">) </w:t>
      </w:r>
      <w:r w:rsidR="00D03E81" w:rsidRPr="00E346F0">
        <w:rPr>
          <w:sz w:val="24"/>
          <w:szCs w:val="24"/>
        </w:rPr>
        <w:t xml:space="preserve">which is a no-cost OER text.  One member, Crombez, chose to work with the </w:t>
      </w:r>
      <w:r w:rsidR="005D176C" w:rsidRPr="00E346F0">
        <w:rPr>
          <w:sz w:val="24"/>
          <w:szCs w:val="24"/>
        </w:rPr>
        <w:t xml:space="preserve">digital </w:t>
      </w:r>
      <w:r w:rsidR="005D176C" w:rsidRPr="00E346F0">
        <w:rPr>
          <w:i/>
          <w:iCs/>
          <w:sz w:val="24"/>
          <w:szCs w:val="24"/>
        </w:rPr>
        <w:t>Sociology Experiment</w:t>
      </w:r>
      <w:r w:rsidR="005D176C" w:rsidRPr="00E346F0">
        <w:rPr>
          <w:sz w:val="24"/>
          <w:szCs w:val="24"/>
        </w:rPr>
        <w:t xml:space="preserve"> text, which is low-cost at $1 per chapter (</w:t>
      </w:r>
      <w:hyperlink r:id="rId6" w:history="1">
        <w:r w:rsidR="005D176C" w:rsidRPr="00E346F0">
          <w:rPr>
            <w:rStyle w:val="Hyperlink"/>
            <w:sz w:val="24"/>
            <w:szCs w:val="24"/>
          </w:rPr>
          <w:t>https://www.sociologyexperiment.com/</w:t>
        </w:r>
      </w:hyperlink>
      <w:r w:rsidR="005D176C" w:rsidRPr="00E346F0">
        <w:rPr>
          <w:sz w:val="24"/>
          <w:szCs w:val="24"/>
        </w:rPr>
        <w:t xml:space="preserve">). </w:t>
      </w:r>
      <w:r w:rsidR="00E143BB" w:rsidRPr="00E346F0">
        <w:rPr>
          <w:sz w:val="24"/>
          <w:szCs w:val="24"/>
        </w:rPr>
        <w:t xml:space="preserve"> Since Farr had previous experience with OpenStax, they shared resources and course template content with colleagues to help support their transformation process.  Each faculty member chose </w:t>
      </w:r>
      <w:r w:rsidR="000A2F44" w:rsidRPr="00E346F0">
        <w:rPr>
          <w:sz w:val="24"/>
          <w:szCs w:val="24"/>
        </w:rPr>
        <w:t>their own forms of assessment and scope of content engaged in their course</w:t>
      </w:r>
      <w:r w:rsidR="004F0DAE" w:rsidRPr="00E346F0">
        <w:rPr>
          <w:sz w:val="24"/>
          <w:szCs w:val="24"/>
        </w:rPr>
        <w:t>, as each has specific areas of expertise and interest, choosing to expand or reduce student instruction on varying topics</w:t>
      </w:r>
      <w:r w:rsidR="00312C2F" w:rsidRPr="00E346F0">
        <w:rPr>
          <w:sz w:val="24"/>
          <w:szCs w:val="24"/>
        </w:rPr>
        <w:t xml:space="preserve"> at their choice.  Courses were taught in varying formats including: fully online</w:t>
      </w:r>
      <w:r w:rsidR="00673D81" w:rsidRPr="00E346F0">
        <w:rPr>
          <w:sz w:val="24"/>
          <w:szCs w:val="24"/>
        </w:rPr>
        <w:t>, face-to-face, and hybrid.  Schedule changes, particularly the result of covid, resulted in changes to individual faculty’s ability to participate at the level initially expected, but all were able to teach at least one section during the grant period.</w:t>
      </w:r>
    </w:p>
    <w:p w14:paraId="029A7F4A" w14:textId="2395E0F9" w:rsidR="00866B01" w:rsidRPr="00F12B0A" w:rsidRDefault="00E346F0" w:rsidP="004467BB">
      <w:pPr>
        <w:spacing w:line="360" w:lineRule="auto"/>
        <w:rPr>
          <w:sz w:val="24"/>
          <w:szCs w:val="24"/>
        </w:rPr>
      </w:pPr>
      <w:r>
        <w:rPr>
          <w:sz w:val="24"/>
          <w:szCs w:val="24"/>
        </w:rPr>
        <w:tab/>
      </w:r>
      <w:r w:rsidR="00367597" w:rsidRPr="00367597">
        <w:rPr>
          <w:sz w:val="24"/>
          <w:szCs w:val="24"/>
        </w:rPr>
        <w:t xml:space="preserve"> </w:t>
      </w:r>
      <w:r w:rsidR="00866B01" w:rsidRPr="009F3FC6">
        <w:rPr>
          <w:sz w:val="24"/>
          <w:szCs w:val="24"/>
        </w:rPr>
        <w:t xml:space="preserve">It is expected that this no-cost text will continue to be used </w:t>
      </w:r>
      <w:r w:rsidR="009F3FC6" w:rsidRPr="009F3FC6">
        <w:rPr>
          <w:sz w:val="24"/>
          <w:szCs w:val="24"/>
        </w:rPr>
        <w:t xml:space="preserve">by most, if not all, faculty participants </w:t>
      </w:r>
      <w:r w:rsidR="00866B01" w:rsidRPr="009F3FC6">
        <w:rPr>
          <w:sz w:val="24"/>
          <w:szCs w:val="24"/>
        </w:rPr>
        <w:t>in upcoming semesters, providing continued student savings, while maintaining consistent student course outcomes.</w:t>
      </w:r>
    </w:p>
    <w:p w14:paraId="57E83733" w14:textId="77777777" w:rsidR="00866B01" w:rsidRDefault="00866B01" w:rsidP="00866B01">
      <w:pPr>
        <w:spacing w:line="360" w:lineRule="auto"/>
        <w:ind w:firstLine="360"/>
        <w:rPr>
          <w:sz w:val="24"/>
          <w:szCs w:val="24"/>
        </w:rPr>
      </w:pPr>
    </w:p>
    <w:p w14:paraId="5794EB0B" w14:textId="7CF0B0B3" w:rsidR="00866B01" w:rsidRDefault="00F12B0A" w:rsidP="00866B01">
      <w:pPr>
        <w:pStyle w:val="Heading1"/>
        <w:numPr>
          <w:ilvl w:val="0"/>
          <w:numId w:val="7"/>
        </w:numPr>
        <w:ind w:left="360"/>
      </w:pPr>
      <w:r w:rsidRPr="004F2656">
        <w:lastRenderedPageBreak/>
        <w:t>Quotes</w:t>
      </w:r>
    </w:p>
    <w:p w14:paraId="3659E301" w14:textId="072E4031" w:rsidR="00862FBE" w:rsidRDefault="00C8329A" w:rsidP="00866B01">
      <w:r>
        <w:t>“</w:t>
      </w:r>
      <w:r w:rsidRPr="00C8329A">
        <w:t>I actually liked having material that i did not have to pay for. I liked the fact that everything is online and i can carry my laptop anywhere with me without having to carry a textbook. I mean textbooks are not bad to have around and could be used to highlight things in the text</w:t>
      </w:r>
      <w:r w:rsidR="00EE3E56">
        <w:t>.</w:t>
      </w:r>
      <w:r>
        <w:t>”     -Fall</w:t>
      </w:r>
      <w:r w:rsidR="00340430">
        <w:t xml:space="preserve"> </w:t>
      </w:r>
      <w:r>
        <w:t>2020</w:t>
      </w:r>
    </w:p>
    <w:p w14:paraId="32239A1F" w14:textId="53D9E6E2" w:rsidR="0004349C" w:rsidRDefault="00EE3E56" w:rsidP="00866B01">
      <w:r>
        <w:t>“</w:t>
      </w:r>
      <w:r w:rsidRPr="00EE3E56">
        <w:t>I think it is an impressive step forward into the right direction for making college more affordable, and in turn, showing the value of students who have financial issues that may prrevent them from expressing their true potential within this institution. I hope this program is expanded upon further, and in the far future, hope this will be a universal program.</w:t>
      </w:r>
      <w:r>
        <w:t xml:space="preserve">”    </w:t>
      </w:r>
      <w:r w:rsidR="00FF5025">
        <w:t>-Spring 2021</w:t>
      </w:r>
    </w:p>
    <w:p w14:paraId="697B4603" w14:textId="39DA4FA5" w:rsidR="00340430" w:rsidRPr="00866B01" w:rsidRDefault="00340430" w:rsidP="00866B01">
      <w:r>
        <w:t>“</w:t>
      </w:r>
      <w:r w:rsidRPr="00340430">
        <w:t>I am actually quite happy with the no-cost resources provided in this course. I always have a slight difficulty getting a low to no cost required resources previously, the one provided from campus is more expensive compares to finding the one that has been used or from other sources. I really appreciate how easy it is to access the materials and it honestly helps a lot with all the assignments and critical thinking that is essential in this course.</w:t>
      </w:r>
      <w:r>
        <w:t>”    -Spring 2021</w:t>
      </w:r>
    </w:p>
    <w:p w14:paraId="606B5F42" w14:textId="7C11F29A" w:rsidR="00F12B0A" w:rsidRPr="00B90CC8" w:rsidRDefault="00F12B0A" w:rsidP="00F12B0A">
      <w:pPr>
        <w:pStyle w:val="Heading1"/>
        <w:numPr>
          <w:ilvl w:val="0"/>
          <w:numId w:val="7"/>
        </w:numPr>
        <w:ind w:left="360"/>
      </w:pPr>
      <w:r w:rsidRPr="004F2656">
        <w:t>Quantitative and Qualitative Measures</w:t>
      </w:r>
    </w:p>
    <w:p w14:paraId="12324550" w14:textId="77777777" w:rsidR="00F12B0A" w:rsidRDefault="00F12B0A" w:rsidP="00F12B0A">
      <w:pPr>
        <w:pStyle w:val="Heading2"/>
        <w:numPr>
          <w:ilvl w:val="1"/>
          <w:numId w:val="7"/>
        </w:numPr>
        <w:ind w:left="720"/>
      </w:pPr>
      <w:r>
        <w:t>Uniform Measurements Questions</w:t>
      </w:r>
    </w:p>
    <w:p w14:paraId="02938F6A" w14:textId="77777777" w:rsidR="00F12B0A" w:rsidRDefault="00F12B0A" w:rsidP="00F12B0A">
      <w:pPr>
        <w:ind w:left="720"/>
        <w:rPr>
          <w:b/>
          <w:sz w:val="24"/>
          <w:szCs w:val="24"/>
        </w:rPr>
      </w:pPr>
      <w:r>
        <w:rPr>
          <w:b/>
          <w:sz w:val="24"/>
          <w:szCs w:val="24"/>
        </w:rPr>
        <w:t>Student Opinion of Materials</w:t>
      </w:r>
      <w:r w:rsidRPr="0073273B">
        <w:rPr>
          <w:b/>
          <w:sz w:val="24"/>
          <w:szCs w:val="24"/>
        </w:rPr>
        <w:t xml:space="preserve"> </w:t>
      </w:r>
    </w:p>
    <w:p w14:paraId="71F193D8" w14:textId="77777777" w:rsidR="00F12B0A" w:rsidRDefault="00F12B0A" w:rsidP="00F12B0A">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5BC1CA78" w14:textId="42F7B08D" w:rsidR="00F12B0A" w:rsidRPr="00684A25" w:rsidRDefault="00F12B0A" w:rsidP="00F12B0A">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w:t>
      </w:r>
      <w:r w:rsidR="0065466C">
        <w:rPr>
          <w:sz w:val="24"/>
          <w:szCs w:val="24"/>
        </w:rPr>
        <w:t>806</w:t>
      </w:r>
      <w:r w:rsidRPr="00684A25">
        <w:rPr>
          <w:sz w:val="24"/>
          <w:szCs w:val="24"/>
        </w:rPr>
        <w:t>_______</w:t>
      </w:r>
    </w:p>
    <w:p w14:paraId="348137E2" w14:textId="5C6A9E4E" w:rsidR="00F12B0A" w:rsidRPr="001D51FD" w:rsidRDefault="00F12B0A" w:rsidP="00F12B0A">
      <w:pPr>
        <w:pStyle w:val="ListParagraph"/>
        <w:numPr>
          <w:ilvl w:val="0"/>
          <w:numId w:val="3"/>
        </w:numPr>
        <w:ind w:left="1800"/>
        <w:rPr>
          <w:sz w:val="24"/>
          <w:szCs w:val="24"/>
        </w:rPr>
      </w:pPr>
      <w:r w:rsidRPr="001D51FD">
        <w:rPr>
          <w:sz w:val="24"/>
          <w:szCs w:val="24"/>
        </w:rPr>
        <w:t>Positive:</w:t>
      </w:r>
      <w:r>
        <w:rPr>
          <w:sz w:val="24"/>
          <w:szCs w:val="24"/>
        </w:rPr>
        <w:tab/>
      </w:r>
      <w:r w:rsidRPr="001D51FD">
        <w:rPr>
          <w:sz w:val="24"/>
          <w:szCs w:val="24"/>
        </w:rPr>
        <w:t>___</w:t>
      </w:r>
      <w:r w:rsidR="00871805">
        <w:rPr>
          <w:sz w:val="24"/>
          <w:szCs w:val="24"/>
        </w:rPr>
        <w:t>93.5</w:t>
      </w:r>
      <w:r w:rsidRPr="001D51FD">
        <w:rPr>
          <w:sz w:val="24"/>
          <w:szCs w:val="24"/>
        </w:rPr>
        <w:t>____ % of ___</w:t>
      </w:r>
      <w:r w:rsidR="00B36553">
        <w:rPr>
          <w:sz w:val="24"/>
          <w:szCs w:val="24"/>
        </w:rPr>
        <w:t>46</w:t>
      </w:r>
      <w:r w:rsidRPr="001D51FD">
        <w:rPr>
          <w:sz w:val="24"/>
          <w:szCs w:val="24"/>
        </w:rPr>
        <w:t>_____ number of respondents</w:t>
      </w:r>
    </w:p>
    <w:p w14:paraId="5C49AE38" w14:textId="6DEDFF1A" w:rsidR="00F12B0A" w:rsidRDefault="00F12B0A" w:rsidP="00F12B0A">
      <w:pPr>
        <w:pStyle w:val="ListParagraph"/>
        <w:numPr>
          <w:ilvl w:val="0"/>
          <w:numId w:val="3"/>
        </w:numPr>
        <w:ind w:left="1800"/>
        <w:rPr>
          <w:sz w:val="24"/>
          <w:szCs w:val="24"/>
        </w:rPr>
      </w:pPr>
      <w:r w:rsidRPr="001D51FD">
        <w:rPr>
          <w:sz w:val="24"/>
          <w:szCs w:val="24"/>
        </w:rPr>
        <w:t>Neutral:</w:t>
      </w:r>
      <w:r>
        <w:rPr>
          <w:sz w:val="24"/>
          <w:szCs w:val="24"/>
        </w:rPr>
        <w:tab/>
      </w:r>
      <w:r w:rsidRPr="001D51FD">
        <w:rPr>
          <w:sz w:val="24"/>
          <w:szCs w:val="24"/>
        </w:rPr>
        <w:t>___</w:t>
      </w:r>
      <w:r w:rsidR="00B36553">
        <w:rPr>
          <w:sz w:val="24"/>
          <w:szCs w:val="24"/>
        </w:rPr>
        <w:t>4.3</w:t>
      </w:r>
      <w:r w:rsidRPr="001D51FD">
        <w:rPr>
          <w:sz w:val="24"/>
          <w:szCs w:val="24"/>
        </w:rPr>
        <w:t>____ % of ___</w:t>
      </w:r>
      <w:r w:rsidR="00B36553">
        <w:rPr>
          <w:sz w:val="24"/>
          <w:szCs w:val="24"/>
        </w:rPr>
        <w:t>46</w:t>
      </w:r>
      <w:r w:rsidRPr="001D51FD">
        <w:rPr>
          <w:sz w:val="24"/>
          <w:szCs w:val="24"/>
        </w:rPr>
        <w:t>_____ number of respondents</w:t>
      </w:r>
    </w:p>
    <w:p w14:paraId="11AD8160" w14:textId="7446240E" w:rsidR="00F12B0A" w:rsidRPr="00684A25" w:rsidRDefault="00F12B0A" w:rsidP="00F12B0A">
      <w:pPr>
        <w:pStyle w:val="ListParagraph"/>
        <w:numPr>
          <w:ilvl w:val="0"/>
          <w:numId w:val="3"/>
        </w:numPr>
        <w:ind w:left="1800"/>
        <w:rPr>
          <w:sz w:val="24"/>
          <w:szCs w:val="24"/>
        </w:rPr>
      </w:pPr>
      <w:r w:rsidRPr="00684A25">
        <w:rPr>
          <w:sz w:val="24"/>
          <w:szCs w:val="24"/>
        </w:rPr>
        <w:t>Negative:</w:t>
      </w:r>
      <w:r>
        <w:rPr>
          <w:sz w:val="24"/>
          <w:szCs w:val="24"/>
        </w:rPr>
        <w:tab/>
      </w:r>
      <w:r w:rsidRPr="00684A25">
        <w:rPr>
          <w:sz w:val="24"/>
          <w:szCs w:val="24"/>
        </w:rPr>
        <w:t>___</w:t>
      </w:r>
      <w:r w:rsidR="00B36553">
        <w:rPr>
          <w:sz w:val="24"/>
          <w:szCs w:val="24"/>
        </w:rPr>
        <w:t>2.2</w:t>
      </w:r>
      <w:r w:rsidRPr="00684A25">
        <w:rPr>
          <w:sz w:val="24"/>
          <w:szCs w:val="24"/>
        </w:rPr>
        <w:t>____ % of ___</w:t>
      </w:r>
      <w:r w:rsidR="00B36553">
        <w:rPr>
          <w:sz w:val="24"/>
          <w:szCs w:val="24"/>
        </w:rPr>
        <w:t>46</w:t>
      </w:r>
      <w:r w:rsidRPr="00684A25">
        <w:rPr>
          <w:sz w:val="24"/>
          <w:szCs w:val="24"/>
        </w:rPr>
        <w:t>_____ number of respondents</w:t>
      </w:r>
    </w:p>
    <w:p w14:paraId="4848E9FC" w14:textId="77777777" w:rsidR="00F12B0A" w:rsidRDefault="00F12B0A" w:rsidP="00F12B0A">
      <w:pPr>
        <w:ind w:left="720"/>
        <w:rPr>
          <w:b/>
          <w:sz w:val="24"/>
          <w:szCs w:val="24"/>
        </w:rPr>
      </w:pPr>
      <w:r>
        <w:rPr>
          <w:b/>
          <w:sz w:val="24"/>
          <w:szCs w:val="24"/>
        </w:rPr>
        <w:t>Student Learning Outcomes and Grades</w:t>
      </w:r>
    </w:p>
    <w:p w14:paraId="30454589" w14:textId="77777777" w:rsidR="00F12B0A" w:rsidRDefault="00F12B0A" w:rsidP="00F12B0A">
      <w:pPr>
        <w:ind w:left="1080"/>
        <w:rPr>
          <w:b/>
          <w:sz w:val="24"/>
          <w:szCs w:val="24"/>
        </w:rPr>
      </w:pPr>
      <w:r w:rsidRPr="00987DD6">
        <w:rPr>
          <w:b/>
          <w:sz w:val="24"/>
          <w:szCs w:val="24"/>
        </w:rPr>
        <w:t xml:space="preserve">Was the </w:t>
      </w:r>
      <w:r>
        <w:rPr>
          <w:b/>
          <w:sz w:val="24"/>
          <w:szCs w:val="24"/>
        </w:rPr>
        <w:t xml:space="preserve">overall comparative impact on </w:t>
      </w:r>
      <w:r w:rsidRPr="00987DD6">
        <w:rPr>
          <w:b/>
          <w:sz w:val="24"/>
          <w:szCs w:val="24"/>
        </w:rPr>
        <w:t>student performance in terms of learning outcomes and grades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6CA32302" w14:textId="77777777" w:rsidR="00F12B0A" w:rsidRPr="00071B22" w:rsidRDefault="00F12B0A" w:rsidP="00F12B0A">
      <w:pPr>
        <w:pStyle w:val="ListParagraph"/>
        <w:ind w:left="1080"/>
        <w:rPr>
          <w:sz w:val="24"/>
          <w:szCs w:val="24"/>
        </w:rPr>
      </w:pPr>
      <w:r w:rsidRPr="00071B22">
        <w:rPr>
          <w:sz w:val="24"/>
          <w:szCs w:val="24"/>
        </w:rPr>
        <w:t xml:space="preserve">Choose One:  </w:t>
      </w:r>
    </w:p>
    <w:p w14:paraId="0B8C468C" w14:textId="77777777" w:rsidR="00BE61DF" w:rsidRDefault="00BE73F9" w:rsidP="00F12B0A">
      <w:pPr>
        <w:pStyle w:val="ListParagraph"/>
        <w:numPr>
          <w:ilvl w:val="0"/>
          <w:numId w:val="5"/>
        </w:numPr>
        <w:ind w:left="1800"/>
        <w:rPr>
          <w:sz w:val="24"/>
          <w:szCs w:val="24"/>
        </w:rPr>
      </w:pPr>
      <w:r>
        <w:rPr>
          <w:sz w:val="24"/>
          <w:szCs w:val="24"/>
        </w:rPr>
        <w:t xml:space="preserve">___ </w:t>
      </w:r>
      <w:r w:rsidR="00F12B0A">
        <w:rPr>
          <w:sz w:val="24"/>
          <w:szCs w:val="24"/>
        </w:rPr>
        <w:t xml:space="preserve">Positive: Higher performance outcomes measured over </w:t>
      </w:r>
      <w:r w:rsidR="00F12B0A" w:rsidRPr="00071B22">
        <w:rPr>
          <w:sz w:val="24"/>
          <w:szCs w:val="24"/>
        </w:rPr>
        <w:t xml:space="preserve">previous </w:t>
      </w:r>
    </w:p>
    <w:p w14:paraId="49830820" w14:textId="1BEDC431" w:rsidR="00F12B0A" w:rsidRPr="00071B22" w:rsidRDefault="00F12B0A" w:rsidP="00BE61DF">
      <w:pPr>
        <w:pStyle w:val="ListParagraph"/>
        <w:ind w:left="2520" w:firstLine="360"/>
        <w:rPr>
          <w:sz w:val="24"/>
          <w:szCs w:val="24"/>
        </w:rPr>
      </w:pPr>
      <w:r w:rsidRPr="00071B22">
        <w:rPr>
          <w:sz w:val="24"/>
          <w:szCs w:val="24"/>
        </w:rPr>
        <w:t>semester(s)</w:t>
      </w:r>
    </w:p>
    <w:p w14:paraId="42DB8BF7" w14:textId="2087FC7B" w:rsidR="00F12B0A" w:rsidRPr="00071B22" w:rsidRDefault="00BE61DF" w:rsidP="00F12B0A">
      <w:pPr>
        <w:pStyle w:val="ListParagraph"/>
        <w:numPr>
          <w:ilvl w:val="0"/>
          <w:numId w:val="5"/>
        </w:numPr>
        <w:ind w:left="1800"/>
        <w:rPr>
          <w:sz w:val="24"/>
          <w:szCs w:val="24"/>
        </w:rPr>
      </w:pPr>
      <w:r>
        <w:rPr>
          <w:sz w:val="24"/>
          <w:szCs w:val="24"/>
        </w:rPr>
        <w:t>_X_</w:t>
      </w:r>
      <w:r w:rsidR="00F12B0A">
        <w:rPr>
          <w:sz w:val="24"/>
          <w:szCs w:val="24"/>
        </w:rPr>
        <w:t xml:space="preserve"> Neutral: S</w:t>
      </w:r>
      <w:r w:rsidR="00F12B0A" w:rsidRPr="00071B22">
        <w:rPr>
          <w:sz w:val="24"/>
          <w:szCs w:val="24"/>
        </w:rPr>
        <w:t xml:space="preserve">ame </w:t>
      </w:r>
      <w:r w:rsidR="00F12B0A">
        <w:rPr>
          <w:sz w:val="24"/>
          <w:szCs w:val="24"/>
        </w:rPr>
        <w:t>performance outcomes over previous semester(s)</w:t>
      </w:r>
    </w:p>
    <w:p w14:paraId="1BBCFD27" w14:textId="77777777" w:rsidR="0065466C" w:rsidRDefault="00F12B0A" w:rsidP="0065466C">
      <w:pPr>
        <w:pStyle w:val="ListParagraph"/>
        <w:numPr>
          <w:ilvl w:val="0"/>
          <w:numId w:val="5"/>
        </w:numPr>
        <w:ind w:left="1800"/>
        <w:rPr>
          <w:sz w:val="24"/>
          <w:szCs w:val="24"/>
        </w:rPr>
      </w:pPr>
      <w:r w:rsidRPr="00071B22">
        <w:rPr>
          <w:sz w:val="24"/>
          <w:szCs w:val="24"/>
        </w:rPr>
        <w:t>___</w:t>
      </w:r>
      <w:r>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4A3BBCEB" w14:textId="7B11E54C" w:rsidR="0065466C" w:rsidRPr="0065466C" w:rsidRDefault="0065466C" w:rsidP="0065466C">
      <w:pPr>
        <w:pStyle w:val="ListParagraph"/>
        <w:numPr>
          <w:ilvl w:val="0"/>
          <w:numId w:val="5"/>
        </w:numPr>
        <w:ind w:left="1800"/>
        <w:rPr>
          <w:sz w:val="24"/>
          <w:szCs w:val="24"/>
        </w:rPr>
      </w:pPr>
      <w:r w:rsidRPr="0065466C">
        <w:rPr>
          <w:sz w:val="24"/>
          <w:szCs w:val="24"/>
        </w:rPr>
        <w:t>___ Undetermined</w:t>
      </w:r>
    </w:p>
    <w:p w14:paraId="0B11F048" w14:textId="77777777" w:rsidR="0065466C" w:rsidRDefault="0065466C" w:rsidP="0065466C">
      <w:pPr>
        <w:pStyle w:val="ListParagraph"/>
        <w:ind w:left="1800"/>
        <w:rPr>
          <w:sz w:val="24"/>
          <w:szCs w:val="24"/>
        </w:rPr>
      </w:pPr>
    </w:p>
    <w:p w14:paraId="08C45AF9" w14:textId="05EF04CF" w:rsidR="007B499A" w:rsidRPr="007B499A" w:rsidRDefault="007B499A" w:rsidP="007B499A">
      <w:pPr>
        <w:rPr>
          <w:sz w:val="24"/>
          <w:szCs w:val="24"/>
        </w:rPr>
      </w:pPr>
      <w:r>
        <w:rPr>
          <w:sz w:val="24"/>
          <w:szCs w:val="24"/>
        </w:rPr>
        <w:t xml:space="preserve">NOTE: </w:t>
      </w:r>
      <w:r w:rsidR="0091591A">
        <w:rPr>
          <w:sz w:val="24"/>
          <w:szCs w:val="24"/>
        </w:rPr>
        <w:t>A</w:t>
      </w:r>
      <w:r>
        <w:rPr>
          <w:sz w:val="24"/>
          <w:szCs w:val="24"/>
        </w:rPr>
        <w:t xml:space="preserve">mong the six instructors involved in this transformation, </w:t>
      </w:r>
      <w:r w:rsidR="002B7100">
        <w:rPr>
          <w:sz w:val="24"/>
          <w:szCs w:val="24"/>
        </w:rPr>
        <w:t>five were available for pre</w:t>
      </w:r>
      <w:r w:rsidR="00B36553">
        <w:rPr>
          <w:sz w:val="24"/>
          <w:szCs w:val="24"/>
        </w:rPr>
        <w:t>-transformation data</w:t>
      </w:r>
      <w:r w:rsidR="0091591A">
        <w:rPr>
          <w:sz w:val="24"/>
          <w:szCs w:val="24"/>
        </w:rPr>
        <w:t>. One had no recent data for comparative purposes.</w:t>
      </w:r>
    </w:p>
    <w:p w14:paraId="2CF0347F" w14:textId="77777777" w:rsidR="00F12B0A" w:rsidRDefault="00F12B0A" w:rsidP="00F12B0A">
      <w:pPr>
        <w:ind w:left="720"/>
        <w:rPr>
          <w:b/>
          <w:sz w:val="24"/>
          <w:szCs w:val="24"/>
        </w:rPr>
      </w:pPr>
      <w:r>
        <w:rPr>
          <w:b/>
          <w:sz w:val="24"/>
          <w:szCs w:val="24"/>
        </w:rPr>
        <w:lastRenderedPageBreak/>
        <w:t>Student Drop/Fail/Withdraw (DFW) R</w:t>
      </w:r>
      <w:r w:rsidRPr="0073273B">
        <w:rPr>
          <w:b/>
          <w:sz w:val="24"/>
          <w:szCs w:val="24"/>
        </w:rPr>
        <w:t>ates</w:t>
      </w:r>
    </w:p>
    <w:p w14:paraId="161AB2F2" w14:textId="77777777" w:rsidR="00F12B0A" w:rsidRDefault="00F12B0A" w:rsidP="00F12B0A">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22AC7FF0" w14:textId="1CC23CAC" w:rsidR="00F12B0A" w:rsidRPr="001E0EE3" w:rsidRDefault="00F12B0A" w:rsidP="00F12B0A">
      <w:pPr>
        <w:ind w:left="1080"/>
        <w:rPr>
          <w:sz w:val="24"/>
          <w:szCs w:val="24"/>
        </w:rPr>
      </w:pPr>
      <w:r w:rsidRPr="001E0EE3">
        <w:rPr>
          <w:sz w:val="24"/>
          <w:szCs w:val="24"/>
        </w:rPr>
        <w:t>___</w:t>
      </w:r>
      <w:r w:rsidR="00BE11A2">
        <w:rPr>
          <w:sz w:val="24"/>
          <w:szCs w:val="24"/>
        </w:rPr>
        <w:t>8.4</w:t>
      </w:r>
      <w:r w:rsidRPr="001E0EE3">
        <w:rPr>
          <w:sz w:val="24"/>
          <w:szCs w:val="24"/>
        </w:rPr>
        <w:t>____% of students, out of a total ___</w:t>
      </w:r>
      <w:r w:rsidR="00350AB2">
        <w:rPr>
          <w:sz w:val="24"/>
          <w:szCs w:val="24"/>
        </w:rPr>
        <w:t>345</w:t>
      </w:r>
      <w:r w:rsidRPr="001E0EE3">
        <w:rPr>
          <w:sz w:val="24"/>
          <w:szCs w:val="24"/>
        </w:rPr>
        <w:t xml:space="preserve">____ students affected, </w:t>
      </w:r>
      <w:r>
        <w:rPr>
          <w:sz w:val="24"/>
          <w:szCs w:val="24"/>
        </w:rPr>
        <w:t>d</w:t>
      </w:r>
      <w:r w:rsidRPr="001E0EE3">
        <w:rPr>
          <w:sz w:val="24"/>
          <w:szCs w:val="24"/>
        </w:rPr>
        <w:t xml:space="preserve">ropped/failed/withdrew from the course in the </w:t>
      </w:r>
      <w:r w:rsidRPr="0004349C">
        <w:rPr>
          <w:i/>
          <w:iCs/>
          <w:sz w:val="24"/>
          <w:szCs w:val="24"/>
        </w:rPr>
        <w:t>final</w:t>
      </w:r>
      <w:r w:rsidRPr="001E0EE3">
        <w:rPr>
          <w:sz w:val="24"/>
          <w:szCs w:val="24"/>
        </w:rPr>
        <w:t xml:space="preserve"> semester of implementation. </w:t>
      </w:r>
    </w:p>
    <w:p w14:paraId="4EB4D5FB" w14:textId="77777777" w:rsidR="00F12B0A" w:rsidRPr="00071B22" w:rsidRDefault="00F12B0A" w:rsidP="00F12B0A">
      <w:pPr>
        <w:ind w:left="1080"/>
        <w:rPr>
          <w:sz w:val="24"/>
          <w:szCs w:val="24"/>
        </w:rPr>
      </w:pPr>
      <w:r w:rsidRPr="00071B22">
        <w:rPr>
          <w:sz w:val="24"/>
          <w:szCs w:val="24"/>
        </w:rPr>
        <w:t xml:space="preserve">Choose One:  </w:t>
      </w:r>
    </w:p>
    <w:p w14:paraId="0A81D614" w14:textId="6D843950" w:rsidR="00F12B0A" w:rsidRPr="00071B22" w:rsidRDefault="00F12B0A" w:rsidP="00F12B0A">
      <w:pPr>
        <w:pStyle w:val="ListParagraph"/>
        <w:numPr>
          <w:ilvl w:val="0"/>
          <w:numId w:val="4"/>
        </w:numPr>
        <w:ind w:left="1800"/>
        <w:rPr>
          <w:sz w:val="24"/>
          <w:szCs w:val="24"/>
        </w:rPr>
      </w:pPr>
      <w:r>
        <w:rPr>
          <w:sz w:val="24"/>
          <w:szCs w:val="24"/>
        </w:rPr>
        <w:t xml:space="preserve">___ </w:t>
      </w:r>
      <w:r w:rsidRPr="00071B22">
        <w:rPr>
          <w:sz w:val="24"/>
          <w:szCs w:val="24"/>
        </w:rPr>
        <w:t xml:space="preserve">Positive: </w:t>
      </w:r>
      <w:r>
        <w:rPr>
          <w:sz w:val="24"/>
          <w:szCs w:val="24"/>
        </w:rPr>
        <w:t>This is a lower percentage of</w:t>
      </w:r>
      <w:r w:rsidRPr="00071B22">
        <w:rPr>
          <w:sz w:val="24"/>
          <w:szCs w:val="24"/>
        </w:rPr>
        <w:t xml:space="preserve"> students with </w:t>
      </w:r>
      <w:r>
        <w:rPr>
          <w:sz w:val="24"/>
          <w:szCs w:val="24"/>
        </w:rPr>
        <w:t>D/F/W than previous semester(s)</w:t>
      </w:r>
    </w:p>
    <w:p w14:paraId="31FE7337" w14:textId="261326BE" w:rsidR="00F12B0A" w:rsidRPr="00071B22" w:rsidRDefault="00F12B0A" w:rsidP="00F12B0A">
      <w:pPr>
        <w:pStyle w:val="ListParagraph"/>
        <w:numPr>
          <w:ilvl w:val="0"/>
          <w:numId w:val="4"/>
        </w:numPr>
        <w:ind w:left="1800"/>
        <w:rPr>
          <w:sz w:val="24"/>
          <w:szCs w:val="24"/>
        </w:rPr>
      </w:pPr>
      <w:r>
        <w:rPr>
          <w:sz w:val="24"/>
          <w:szCs w:val="24"/>
        </w:rPr>
        <w:t>_</w:t>
      </w:r>
      <w:r w:rsidR="00EC4F45">
        <w:rPr>
          <w:sz w:val="24"/>
          <w:szCs w:val="24"/>
        </w:rPr>
        <w:t>X</w:t>
      </w:r>
      <w:r>
        <w:rPr>
          <w:sz w:val="24"/>
          <w:szCs w:val="24"/>
        </w:rPr>
        <w:t>__ Neutral: This is the s</w:t>
      </w:r>
      <w:r w:rsidRPr="00071B22">
        <w:rPr>
          <w:sz w:val="24"/>
          <w:szCs w:val="24"/>
        </w:rPr>
        <w:t xml:space="preserve">ame </w:t>
      </w:r>
      <w:r>
        <w:rPr>
          <w:sz w:val="24"/>
          <w:szCs w:val="24"/>
        </w:rPr>
        <w:t>percentage</w:t>
      </w:r>
      <w:r w:rsidRPr="00071B22">
        <w:rPr>
          <w:sz w:val="24"/>
          <w:szCs w:val="24"/>
        </w:rPr>
        <w:t xml:space="preserve"> of students with D/F/W than previous semester(s)</w:t>
      </w:r>
    </w:p>
    <w:p w14:paraId="0996D66E" w14:textId="472F1406" w:rsidR="00F12B0A" w:rsidRPr="00EC4F45" w:rsidRDefault="00F12B0A" w:rsidP="00F12B0A">
      <w:pPr>
        <w:pStyle w:val="ListParagraph"/>
        <w:numPr>
          <w:ilvl w:val="0"/>
          <w:numId w:val="4"/>
        </w:numPr>
        <w:ind w:left="1800"/>
        <w:rPr>
          <w:b/>
          <w:sz w:val="24"/>
          <w:szCs w:val="24"/>
        </w:rPr>
      </w:pPr>
      <w:r w:rsidRPr="00071B22">
        <w:rPr>
          <w:sz w:val="24"/>
          <w:szCs w:val="24"/>
        </w:rPr>
        <w:t xml:space="preserve">___ Negative: </w:t>
      </w:r>
      <w:r>
        <w:rPr>
          <w:sz w:val="24"/>
          <w:szCs w:val="24"/>
        </w:rPr>
        <w:t>This is a hig</w:t>
      </w:r>
      <w:r w:rsidRPr="00071B22">
        <w:rPr>
          <w:sz w:val="24"/>
          <w:szCs w:val="24"/>
        </w:rPr>
        <w:t xml:space="preserve">her </w:t>
      </w:r>
      <w:r>
        <w:rPr>
          <w:sz w:val="24"/>
          <w:szCs w:val="24"/>
        </w:rPr>
        <w:t>percentage</w:t>
      </w:r>
      <w:r w:rsidRPr="00071B22">
        <w:rPr>
          <w:sz w:val="24"/>
          <w:szCs w:val="24"/>
        </w:rPr>
        <w:t xml:space="preserve"> of students with </w:t>
      </w:r>
      <w:r>
        <w:rPr>
          <w:sz w:val="24"/>
          <w:szCs w:val="24"/>
        </w:rPr>
        <w:t>D/F/W than previous semester(s)</w:t>
      </w:r>
    </w:p>
    <w:p w14:paraId="63CFBA20" w14:textId="04979B57" w:rsidR="00EC4F45" w:rsidRPr="0004349C" w:rsidRDefault="00EC4F45" w:rsidP="00F12B0A">
      <w:pPr>
        <w:pStyle w:val="ListParagraph"/>
        <w:numPr>
          <w:ilvl w:val="0"/>
          <w:numId w:val="4"/>
        </w:numPr>
        <w:ind w:left="1800"/>
        <w:rPr>
          <w:b/>
          <w:sz w:val="24"/>
          <w:szCs w:val="24"/>
        </w:rPr>
      </w:pPr>
      <w:r w:rsidRPr="00071B22">
        <w:rPr>
          <w:sz w:val="24"/>
          <w:szCs w:val="24"/>
        </w:rPr>
        <w:t xml:space="preserve">___ </w:t>
      </w:r>
      <w:r>
        <w:rPr>
          <w:sz w:val="24"/>
          <w:szCs w:val="24"/>
        </w:rPr>
        <w:t>Undetermined</w:t>
      </w:r>
    </w:p>
    <w:p w14:paraId="596739A8" w14:textId="77777777" w:rsidR="00350AB2" w:rsidRDefault="00350AB2" w:rsidP="00350AB2">
      <w:pPr>
        <w:rPr>
          <w:sz w:val="24"/>
          <w:szCs w:val="24"/>
        </w:rPr>
      </w:pPr>
    </w:p>
    <w:p w14:paraId="44ADAE6B" w14:textId="3BB63DA2" w:rsidR="00350AB2" w:rsidRPr="00350AB2" w:rsidRDefault="00350AB2" w:rsidP="00350AB2">
      <w:pPr>
        <w:rPr>
          <w:sz w:val="24"/>
          <w:szCs w:val="24"/>
        </w:rPr>
      </w:pPr>
      <w:r w:rsidRPr="00350AB2">
        <w:rPr>
          <w:sz w:val="24"/>
          <w:szCs w:val="24"/>
        </w:rPr>
        <w:t>NOTE: Among the six instructors involved in this transformation, five were available for pre-transformation data. One had no recent data for comparative purposes.</w:t>
      </w:r>
    </w:p>
    <w:p w14:paraId="015A3191" w14:textId="77777777" w:rsidR="0004349C" w:rsidRPr="00AA2492" w:rsidRDefault="0004349C" w:rsidP="00AA2492">
      <w:pPr>
        <w:rPr>
          <w:b/>
          <w:sz w:val="24"/>
          <w:szCs w:val="24"/>
        </w:rPr>
      </w:pPr>
    </w:p>
    <w:p w14:paraId="7AACFE71" w14:textId="77777777" w:rsidR="00F12B0A" w:rsidRPr="00C45872" w:rsidRDefault="00F12B0A" w:rsidP="00F12B0A">
      <w:pPr>
        <w:pStyle w:val="Heading2"/>
        <w:numPr>
          <w:ilvl w:val="1"/>
          <w:numId w:val="7"/>
        </w:numPr>
        <w:ind w:left="720"/>
      </w:pPr>
      <w:r>
        <w:t xml:space="preserve">Measures </w:t>
      </w:r>
      <w:r w:rsidRPr="00C45872">
        <w:t>Narrative</w:t>
      </w:r>
    </w:p>
    <w:p w14:paraId="48C92EA0" w14:textId="6E524655" w:rsidR="0004349C" w:rsidRPr="004467BB" w:rsidRDefault="0004349C" w:rsidP="00B36747">
      <w:pPr>
        <w:spacing w:line="360" w:lineRule="auto"/>
        <w:ind w:firstLine="360"/>
        <w:rPr>
          <w:iCs/>
          <w:sz w:val="24"/>
          <w:szCs w:val="24"/>
        </w:rPr>
      </w:pPr>
      <w:r w:rsidRPr="004467BB">
        <w:rPr>
          <w:iCs/>
          <w:sz w:val="24"/>
          <w:szCs w:val="24"/>
        </w:rPr>
        <w:t xml:space="preserve">Using both qualitative and quantitative measures of assessment, including student end-of-semester survey and final grade outcomes, the overall impact of the OER adoption was </w:t>
      </w:r>
      <w:r w:rsidR="00DB4879" w:rsidRPr="004467BB">
        <w:rPr>
          <w:iCs/>
          <w:sz w:val="24"/>
          <w:szCs w:val="24"/>
        </w:rPr>
        <w:t>“</w:t>
      </w:r>
      <w:r w:rsidRPr="004467BB">
        <w:rPr>
          <w:iCs/>
          <w:sz w:val="24"/>
          <w:szCs w:val="24"/>
        </w:rPr>
        <w:t>neutral.</w:t>
      </w:r>
      <w:r w:rsidR="00DB4879" w:rsidRPr="004467BB">
        <w:rPr>
          <w:iCs/>
          <w:sz w:val="24"/>
          <w:szCs w:val="24"/>
        </w:rPr>
        <w:t>”</w:t>
      </w:r>
      <w:r w:rsidR="00F250FD" w:rsidRPr="004467BB">
        <w:rPr>
          <w:iCs/>
          <w:sz w:val="24"/>
          <w:szCs w:val="24"/>
        </w:rPr>
        <w:t xml:space="preserve"> This narrative particularly draws from post-OER adoption data from </w:t>
      </w:r>
      <w:r w:rsidR="00B05747" w:rsidRPr="004467BB">
        <w:rPr>
          <w:iCs/>
          <w:sz w:val="24"/>
          <w:szCs w:val="24"/>
        </w:rPr>
        <w:t>Summer</w:t>
      </w:r>
      <w:r w:rsidR="00F250FD" w:rsidRPr="004467BB">
        <w:rPr>
          <w:iCs/>
          <w:sz w:val="24"/>
          <w:szCs w:val="24"/>
        </w:rPr>
        <w:t xml:space="preserve"> 2020</w:t>
      </w:r>
      <w:r w:rsidR="00B05747" w:rsidRPr="004467BB">
        <w:rPr>
          <w:iCs/>
          <w:sz w:val="24"/>
          <w:szCs w:val="24"/>
        </w:rPr>
        <w:t xml:space="preserve"> through</w:t>
      </w:r>
      <w:r w:rsidR="00F250FD" w:rsidRPr="004467BB">
        <w:rPr>
          <w:iCs/>
          <w:sz w:val="24"/>
          <w:szCs w:val="24"/>
        </w:rPr>
        <w:t xml:space="preserve"> Spring 2021.  Comparisons were made to data from the </w:t>
      </w:r>
      <w:r w:rsidR="00B05747" w:rsidRPr="004467BB">
        <w:rPr>
          <w:iCs/>
          <w:sz w:val="24"/>
          <w:szCs w:val="24"/>
        </w:rPr>
        <w:t>three</w:t>
      </w:r>
      <w:r w:rsidR="00F250FD" w:rsidRPr="004467BB">
        <w:rPr>
          <w:iCs/>
          <w:sz w:val="24"/>
          <w:szCs w:val="24"/>
        </w:rPr>
        <w:t xml:space="preserve"> most recent semesters pre-OER adoption, including summer sessions.</w:t>
      </w:r>
    </w:p>
    <w:p w14:paraId="587A1BEF" w14:textId="77777777" w:rsidR="004467BB" w:rsidRDefault="004467BB" w:rsidP="004467BB">
      <w:pPr>
        <w:spacing w:line="360" w:lineRule="auto"/>
        <w:ind w:firstLine="360"/>
        <w:rPr>
          <w:sz w:val="24"/>
          <w:szCs w:val="24"/>
        </w:rPr>
      </w:pPr>
      <w:r w:rsidRPr="00E346F0">
        <w:rPr>
          <w:sz w:val="24"/>
          <w:szCs w:val="24"/>
        </w:rPr>
        <w:t xml:space="preserve">Overall, the outcome of the large-scale transformation is primarily “neutral.” Data was collected to assess course GPAs, as well s DFW%.  For most faculty members, there was an ability to compare 1101 outcome pre- and post- OER adoption.  One team member (Treiber) did not have prior data available for comparison.  Two team members (Farr and Johnson) had adopted OER materials in advance of grant period, so their comparison is not necessarily useful.  Among the remaining three faculty who newly adopted OER materials specifically for this transformation the grade outcomes were either neutral or positive.   Neutral in this case speaks </w:t>
      </w:r>
      <w:r w:rsidRPr="00E346F0">
        <w:rPr>
          <w:sz w:val="24"/>
          <w:szCs w:val="24"/>
        </w:rPr>
        <w:lastRenderedPageBreak/>
        <w:t>to 0.2 point GPA different or less.  Neutral grade outcomes were found with four faculty: Crombez, Farr, Johnson, and White.  Positive grade outcomes were found for Stephens—their pre-transformation course GPA (Fall 19) of 2.97 increased to an average of 3.58 (Sum20 &amp; Sp21).  Among all faculty, across 17 sections, post-transformation the average course GPA was 3.39, median 3.53, with a range of 2.45 to 3.8.</w:t>
      </w:r>
    </w:p>
    <w:p w14:paraId="6A54CC4E" w14:textId="77777777" w:rsidR="004467BB" w:rsidRDefault="004467BB" w:rsidP="004467BB">
      <w:pPr>
        <w:spacing w:line="360" w:lineRule="auto"/>
        <w:ind w:firstLine="360"/>
        <w:rPr>
          <w:sz w:val="24"/>
          <w:szCs w:val="24"/>
        </w:rPr>
      </w:pPr>
      <w:r>
        <w:rPr>
          <w:sz w:val="24"/>
          <w:szCs w:val="24"/>
        </w:rPr>
        <w:t>Turning to the DFW% rates among the faculty, cumulatively the outcome across the group appears to be “neutral.” Most faculty demonstrated a neutral outcome, with one seeing a negative.  Neutral in this case defines by a ~5% or lower difference pre- and post-transformation—this percentage difference typically equates to a single student shift.  One consideration is the impact of Covid during the grant period may have also impacted outcomes, with higher than usual W, WF, F grades overall, but this does not appear significantly present in this data.</w:t>
      </w:r>
    </w:p>
    <w:p w14:paraId="522EB1A3" w14:textId="77777777" w:rsidR="004467BB" w:rsidRDefault="004467BB" w:rsidP="004467BB">
      <w:pPr>
        <w:spacing w:line="360" w:lineRule="auto"/>
        <w:rPr>
          <w:sz w:val="24"/>
          <w:szCs w:val="24"/>
        </w:rPr>
      </w:pPr>
      <w:r>
        <w:rPr>
          <w:sz w:val="24"/>
          <w:szCs w:val="24"/>
        </w:rPr>
        <w:tab/>
        <w:t>Briefly summarizing outcomes:</w:t>
      </w:r>
    </w:p>
    <w:tbl>
      <w:tblPr>
        <w:tblW w:w="11540" w:type="dxa"/>
        <w:tblLook w:val="04A0" w:firstRow="1" w:lastRow="0" w:firstColumn="1" w:lastColumn="0" w:noHBand="0" w:noVBand="1"/>
      </w:tblPr>
      <w:tblGrid>
        <w:gridCol w:w="1118"/>
        <w:gridCol w:w="960"/>
        <w:gridCol w:w="960"/>
        <w:gridCol w:w="980"/>
        <w:gridCol w:w="1029"/>
        <w:gridCol w:w="960"/>
        <w:gridCol w:w="960"/>
        <w:gridCol w:w="1032"/>
        <w:gridCol w:w="1029"/>
        <w:gridCol w:w="960"/>
        <w:gridCol w:w="960"/>
        <w:gridCol w:w="960"/>
      </w:tblGrid>
      <w:tr w:rsidR="004467BB" w:rsidRPr="00D0763B" w14:paraId="2AFCF342" w14:textId="77777777" w:rsidTr="00F076B4">
        <w:trPr>
          <w:trHeight w:val="300"/>
        </w:trPr>
        <w:tc>
          <w:tcPr>
            <w:tcW w:w="960" w:type="dxa"/>
            <w:tcBorders>
              <w:top w:val="nil"/>
              <w:left w:val="nil"/>
              <w:bottom w:val="nil"/>
              <w:right w:val="nil"/>
            </w:tcBorders>
            <w:shd w:val="clear" w:color="auto" w:fill="auto"/>
            <w:noWrap/>
            <w:vAlign w:val="bottom"/>
            <w:hideMark/>
          </w:tcPr>
          <w:p w14:paraId="6461AA3B" w14:textId="77777777" w:rsidR="004467BB" w:rsidRPr="00D0763B" w:rsidRDefault="004467BB" w:rsidP="00F076B4">
            <w:pPr>
              <w:spacing w:after="0" w:line="240" w:lineRule="auto"/>
              <w:rPr>
                <w:rFonts w:ascii="Calibri" w:eastAsia="Times New Roman" w:hAnsi="Calibri" w:cs="Calibri"/>
                <w:b/>
                <w:bCs/>
                <w:color w:val="000000"/>
              </w:rPr>
            </w:pPr>
            <w:r w:rsidRPr="00D0763B">
              <w:rPr>
                <w:rFonts w:ascii="Calibri" w:eastAsia="Times New Roman" w:hAnsi="Calibri" w:cs="Calibri"/>
                <w:b/>
                <w:bCs/>
                <w:color w:val="000000"/>
              </w:rPr>
              <w:t>Instructor</w:t>
            </w:r>
          </w:p>
        </w:tc>
        <w:tc>
          <w:tcPr>
            <w:tcW w:w="960" w:type="dxa"/>
            <w:tcBorders>
              <w:top w:val="single" w:sz="8" w:space="0" w:color="auto"/>
              <w:left w:val="single" w:sz="8" w:space="0" w:color="auto"/>
              <w:bottom w:val="nil"/>
              <w:right w:val="nil"/>
            </w:tcBorders>
            <w:shd w:val="clear" w:color="auto" w:fill="auto"/>
            <w:noWrap/>
            <w:vAlign w:val="bottom"/>
            <w:hideMark/>
          </w:tcPr>
          <w:p w14:paraId="11CC887B" w14:textId="77777777" w:rsidR="004467BB" w:rsidRPr="00D0763B" w:rsidRDefault="004467BB" w:rsidP="00F076B4">
            <w:pPr>
              <w:spacing w:after="0" w:line="240" w:lineRule="auto"/>
              <w:rPr>
                <w:rFonts w:ascii="Calibri" w:eastAsia="Times New Roman" w:hAnsi="Calibri" w:cs="Calibri"/>
                <w:b/>
                <w:bCs/>
                <w:color w:val="000000"/>
              </w:rPr>
            </w:pPr>
            <w:r w:rsidRPr="00D0763B">
              <w:rPr>
                <w:rFonts w:ascii="Calibri" w:eastAsia="Times New Roman" w:hAnsi="Calibri" w:cs="Calibri"/>
                <w:b/>
                <w:bCs/>
                <w:color w:val="000000"/>
              </w:rPr>
              <w:t>pre-gpa</w:t>
            </w:r>
          </w:p>
        </w:tc>
        <w:tc>
          <w:tcPr>
            <w:tcW w:w="960" w:type="dxa"/>
            <w:tcBorders>
              <w:top w:val="single" w:sz="8" w:space="0" w:color="auto"/>
              <w:left w:val="nil"/>
              <w:bottom w:val="nil"/>
              <w:right w:val="nil"/>
            </w:tcBorders>
            <w:shd w:val="clear" w:color="auto" w:fill="auto"/>
            <w:noWrap/>
            <w:vAlign w:val="bottom"/>
            <w:hideMark/>
          </w:tcPr>
          <w:p w14:paraId="6E9C9180" w14:textId="77777777" w:rsidR="004467BB" w:rsidRPr="00D0763B" w:rsidRDefault="004467BB" w:rsidP="00F076B4">
            <w:pPr>
              <w:spacing w:after="0" w:line="240" w:lineRule="auto"/>
              <w:rPr>
                <w:rFonts w:ascii="Calibri" w:eastAsia="Times New Roman" w:hAnsi="Calibri" w:cs="Calibri"/>
                <w:b/>
                <w:bCs/>
                <w:color w:val="000000"/>
              </w:rPr>
            </w:pPr>
            <w:r w:rsidRPr="00D0763B">
              <w:rPr>
                <w:rFonts w:ascii="Calibri" w:eastAsia="Times New Roman" w:hAnsi="Calibri" w:cs="Calibri"/>
                <w:b/>
                <w:bCs/>
                <w:color w:val="000000"/>
              </w:rPr>
              <w:t>post-gpa</w:t>
            </w:r>
          </w:p>
        </w:tc>
        <w:tc>
          <w:tcPr>
            <w:tcW w:w="980" w:type="dxa"/>
            <w:tcBorders>
              <w:top w:val="single" w:sz="8" w:space="0" w:color="auto"/>
              <w:left w:val="nil"/>
              <w:bottom w:val="nil"/>
              <w:right w:val="nil"/>
            </w:tcBorders>
            <w:shd w:val="clear" w:color="auto" w:fill="auto"/>
            <w:noWrap/>
            <w:vAlign w:val="bottom"/>
            <w:hideMark/>
          </w:tcPr>
          <w:p w14:paraId="0786CBE5" w14:textId="77777777" w:rsidR="004467BB" w:rsidRPr="00D0763B" w:rsidRDefault="004467BB" w:rsidP="00F076B4">
            <w:pPr>
              <w:spacing w:after="0" w:line="240" w:lineRule="auto"/>
              <w:rPr>
                <w:rFonts w:ascii="Calibri" w:eastAsia="Times New Roman" w:hAnsi="Calibri" w:cs="Calibri"/>
                <w:b/>
                <w:bCs/>
                <w:color w:val="000000"/>
              </w:rPr>
            </w:pPr>
            <w:r w:rsidRPr="00D0763B">
              <w:rPr>
                <w:rFonts w:ascii="Calibri" w:eastAsia="Times New Roman" w:hAnsi="Calibri" w:cs="Calibri"/>
                <w:b/>
                <w:bCs/>
                <w:color w:val="000000"/>
              </w:rPr>
              <w:t># impact</w:t>
            </w:r>
          </w:p>
        </w:tc>
        <w:tc>
          <w:tcPr>
            <w:tcW w:w="960" w:type="dxa"/>
            <w:tcBorders>
              <w:top w:val="single" w:sz="8" w:space="0" w:color="auto"/>
              <w:left w:val="nil"/>
              <w:bottom w:val="nil"/>
              <w:right w:val="single" w:sz="8" w:space="0" w:color="auto"/>
            </w:tcBorders>
            <w:shd w:val="clear" w:color="auto" w:fill="auto"/>
            <w:noWrap/>
            <w:vAlign w:val="bottom"/>
            <w:hideMark/>
          </w:tcPr>
          <w:p w14:paraId="5948D559" w14:textId="77777777" w:rsidR="004467BB" w:rsidRPr="00D0763B" w:rsidRDefault="004467BB" w:rsidP="00F076B4">
            <w:pPr>
              <w:spacing w:after="0" w:line="240" w:lineRule="auto"/>
              <w:rPr>
                <w:rFonts w:ascii="Calibri" w:eastAsia="Times New Roman" w:hAnsi="Calibri" w:cs="Calibri"/>
                <w:b/>
                <w:bCs/>
                <w:color w:val="000000"/>
              </w:rPr>
            </w:pPr>
            <w:r w:rsidRPr="00D0763B">
              <w:rPr>
                <w:rFonts w:ascii="Calibri" w:eastAsia="Times New Roman" w:hAnsi="Calibri" w:cs="Calibri"/>
                <w:b/>
                <w:bCs/>
                <w:color w:val="000000"/>
              </w:rPr>
              <w:t>outcome</w:t>
            </w:r>
          </w:p>
        </w:tc>
        <w:tc>
          <w:tcPr>
            <w:tcW w:w="960" w:type="dxa"/>
            <w:tcBorders>
              <w:top w:val="single" w:sz="8" w:space="0" w:color="auto"/>
              <w:left w:val="nil"/>
              <w:bottom w:val="nil"/>
              <w:right w:val="nil"/>
            </w:tcBorders>
            <w:shd w:val="clear" w:color="auto" w:fill="auto"/>
            <w:noWrap/>
            <w:vAlign w:val="bottom"/>
            <w:hideMark/>
          </w:tcPr>
          <w:p w14:paraId="5A2DAA45" w14:textId="77777777" w:rsidR="004467BB" w:rsidRPr="00D0763B" w:rsidRDefault="004467BB" w:rsidP="00F076B4">
            <w:pPr>
              <w:spacing w:after="0" w:line="240" w:lineRule="auto"/>
              <w:rPr>
                <w:rFonts w:ascii="Calibri" w:eastAsia="Times New Roman" w:hAnsi="Calibri" w:cs="Calibri"/>
                <w:b/>
                <w:bCs/>
                <w:color w:val="000000"/>
              </w:rPr>
            </w:pPr>
            <w:r w:rsidRPr="00D0763B">
              <w:rPr>
                <w:rFonts w:ascii="Calibri" w:eastAsia="Times New Roman" w:hAnsi="Calibri" w:cs="Calibri"/>
                <w:b/>
                <w:bCs/>
                <w:color w:val="000000"/>
              </w:rPr>
              <w:t xml:space="preserve">pre-DFW </w:t>
            </w:r>
          </w:p>
        </w:tc>
        <w:tc>
          <w:tcPr>
            <w:tcW w:w="960" w:type="dxa"/>
            <w:tcBorders>
              <w:top w:val="single" w:sz="8" w:space="0" w:color="auto"/>
              <w:left w:val="nil"/>
              <w:bottom w:val="nil"/>
              <w:right w:val="nil"/>
            </w:tcBorders>
            <w:shd w:val="clear" w:color="auto" w:fill="auto"/>
            <w:noWrap/>
            <w:vAlign w:val="bottom"/>
            <w:hideMark/>
          </w:tcPr>
          <w:p w14:paraId="24EA0B56" w14:textId="77777777" w:rsidR="004467BB" w:rsidRPr="00D0763B" w:rsidRDefault="004467BB" w:rsidP="00F076B4">
            <w:pPr>
              <w:spacing w:after="0" w:line="240" w:lineRule="auto"/>
              <w:rPr>
                <w:rFonts w:ascii="Calibri" w:eastAsia="Times New Roman" w:hAnsi="Calibri" w:cs="Calibri"/>
                <w:b/>
                <w:bCs/>
                <w:color w:val="000000"/>
              </w:rPr>
            </w:pPr>
            <w:r w:rsidRPr="00D0763B">
              <w:rPr>
                <w:rFonts w:ascii="Calibri" w:eastAsia="Times New Roman" w:hAnsi="Calibri" w:cs="Calibri"/>
                <w:b/>
                <w:bCs/>
                <w:color w:val="000000"/>
              </w:rPr>
              <w:t>post-DFW</w:t>
            </w:r>
          </w:p>
        </w:tc>
        <w:tc>
          <w:tcPr>
            <w:tcW w:w="960" w:type="dxa"/>
            <w:tcBorders>
              <w:top w:val="single" w:sz="8" w:space="0" w:color="auto"/>
              <w:left w:val="nil"/>
              <w:bottom w:val="nil"/>
              <w:right w:val="nil"/>
            </w:tcBorders>
            <w:shd w:val="clear" w:color="auto" w:fill="auto"/>
            <w:noWrap/>
            <w:vAlign w:val="bottom"/>
            <w:hideMark/>
          </w:tcPr>
          <w:p w14:paraId="41C195CB" w14:textId="77777777" w:rsidR="004467BB" w:rsidRPr="00D0763B" w:rsidRDefault="004467BB" w:rsidP="00F076B4">
            <w:pPr>
              <w:spacing w:after="0" w:line="240" w:lineRule="auto"/>
              <w:rPr>
                <w:rFonts w:ascii="Calibri" w:eastAsia="Times New Roman" w:hAnsi="Calibri" w:cs="Calibri"/>
                <w:b/>
                <w:bCs/>
                <w:color w:val="000000"/>
              </w:rPr>
            </w:pPr>
            <w:r w:rsidRPr="00D0763B">
              <w:rPr>
                <w:rFonts w:ascii="Calibri" w:eastAsia="Times New Roman" w:hAnsi="Calibri" w:cs="Calibri"/>
                <w:b/>
                <w:bCs/>
                <w:color w:val="000000"/>
              </w:rPr>
              <w:t>#imparct</w:t>
            </w:r>
          </w:p>
        </w:tc>
        <w:tc>
          <w:tcPr>
            <w:tcW w:w="960" w:type="dxa"/>
            <w:tcBorders>
              <w:top w:val="single" w:sz="8" w:space="0" w:color="auto"/>
              <w:left w:val="nil"/>
              <w:bottom w:val="nil"/>
              <w:right w:val="single" w:sz="8" w:space="0" w:color="auto"/>
            </w:tcBorders>
            <w:shd w:val="clear" w:color="auto" w:fill="auto"/>
            <w:noWrap/>
            <w:vAlign w:val="bottom"/>
            <w:hideMark/>
          </w:tcPr>
          <w:p w14:paraId="3A9C6563" w14:textId="77777777" w:rsidR="004467BB" w:rsidRPr="00D0763B" w:rsidRDefault="004467BB" w:rsidP="00F076B4">
            <w:pPr>
              <w:spacing w:after="0" w:line="240" w:lineRule="auto"/>
              <w:rPr>
                <w:rFonts w:ascii="Calibri" w:eastAsia="Times New Roman" w:hAnsi="Calibri" w:cs="Calibri"/>
                <w:b/>
                <w:bCs/>
                <w:color w:val="000000"/>
              </w:rPr>
            </w:pPr>
            <w:r w:rsidRPr="00D0763B">
              <w:rPr>
                <w:rFonts w:ascii="Calibri" w:eastAsia="Times New Roman" w:hAnsi="Calibri" w:cs="Calibri"/>
                <w:b/>
                <w:bCs/>
                <w:color w:val="000000"/>
              </w:rPr>
              <w:t>outcome</w:t>
            </w:r>
          </w:p>
        </w:tc>
        <w:tc>
          <w:tcPr>
            <w:tcW w:w="960" w:type="dxa"/>
            <w:tcBorders>
              <w:top w:val="nil"/>
              <w:left w:val="nil"/>
              <w:bottom w:val="nil"/>
              <w:right w:val="nil"/>
            </w:tcBorders>
            <w:shd w:val="clear" w:color="auto" w:fill="auto"/>
            <w:noWrap/>
            <w:vAlign w:val="bottom"/>
            <w:hideMark/>
          </w:tcPr>
          <w:p w14:paraId="1CEA5C3C" w14:textId="77777777" w:rsidR="004467BB" w:rsidRPr="00D0763B" w:rsidRDefault="004467BB" w:rsidP="00F076B4">
            <w:pPr>
              <w:spacing w:after="0" w:line="240" w:lineRule="auto"/>
              <w:rPr>
                <w:rFonts w:ascii="Calibri" w:eastAsia="Times New Roman" w:hAnsi="Calibri" w:cs="Calibri"/>
                <w:b/>
                <w:bCs/>
                <w:color w:val="000000"/>
              </w:rPr>
            </w:pPr>
          </w:p>
        </w:tc>
        <w:tc>
          <w:tcPr>
            <w:tcW w:w="960" w:type="dxa"/>
            <w:tcBorders>
              <w:top w:val="nil"/>
              <w:left w:val="nil"/>
              <w:bottom w:val="nil"/>
              <w:right w:val="nil"/>
            </w:tcBorders>
            <w:shd w:val="clear" w:color="auto" w:fill="auto"/>
            <w:noWrap/>
            <w:vAlign w:val="bottom"/>
            <w:hideMark/>
          </w:tcPr>
          <w:p w14:paraId="65E13865"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0C3D694A" w14:textId="77777777" w:rsidR="004467BB" w:rsidRPr="00D0763B" w:rsidRDefault="004467BB" w:rsidP="00F076B4">
            <w:pPr>
              <w:spacing w:after="0" w:line="240" w:lineRule="auto"/>
              <w:rPr>
                <w:rFonts w:ascii="Times New Roman" w:eastAsia="Times New Roman" w:hAnsi="Times New Roman" w:cs="Times New Roman"/>
                <w:sz w:val="20"/>
                <w:szCs w:val="20"/>
              </w:rPr>
            </w:pPr>
          </w:p>
        </w:tc>
      </w:tr>
      <w:tr w:rsidR="004467BB" w:rsidRPr="00D0763B" w14:paraId="628DAA09" w14:textId="77777777" w:rsidTr="00F076B4">
        <w:trPr>
          <w:trHeight w:val="300"/>
        </w:trPr>
        <w:tc>
          <w:tcPr>
            <w:tcW w:w="960" w:type="dxa"/>
            <w:tcBorders>
              <w:top w:val="nil"/>
              <w:left w:val="nil"/>
              <w:bottom w:val="nil"/>
              <w:right w:val="nil"/>
            </w:tcBorders>
            <w:shd w:val="clear" w:color="auto" w:fill="auto"/>
            <w:noWrap/>
            <w:vAlign w:val="bottom"/>
            <w:hideMark/>
          </w:tcPr>
          <w:p w14:paraId="450CE75E"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Crombez</w:t>
            </w:r>
          </w:p>
        </w:tc>
        <w:tc>
          <w:tcPr>
            <w:tcW w:w="960" w:type="dxa"/>
            <w:tcBorders>
              <w:top w:val="nil"/>
              <w:left w:val="single" w:sz="8" w:space="0" w:color="auto"/>
              <w:bottom w:val="nil"/>
              <w:right w:val="nil"/>
            </w:tcBorders>
            <w:shd w:val="clear" w:color="auto" w:fill="auto"/>
            <w:noWrap/>
            <w:vAlign w:val="bottom"/>
            <w:hideMark/>
          </w:tcPr>
          <w:p w14:paraId="1B14EA6D"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2.63</w:t>
            </w:r>
          </w:p>
        </w:tc>
        <w:tc>
          <w:tcPr>
            <w:tcW w:w="960" w:type="dxa"/>
            <w:tcBorders>
              <w:top w:val="nil"/>
              <w:left w:val="nil"/>
              <w:bottom w:val="nil"/>
              <w:right w:val="nil"/>
            </w:tcBorders>
            <w:shd w:val="clear" w:color="auto" w:fill="auto"/>
            <w:noWrap/>
            <w:vAlign w:val="bottom"/>
            <w:hideMark/>
          </w:tcPr>
          <w:p w14:paraId="0C7212F2"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2.45</w:t>
            </w:r>
          </w:p>
        </w:tc>
        <w:tc>
          <w:tcPr>
            <w:tcW w:w="980" w:type="dxa"/>
            <w:tcBorders>
              <w:top w:val="nil"/>
              <w:left w:val="nil"/>
              <w:bottom w:val="nil"/>
              <w:right w:val="nil"/>
            </w:tcBorders>
            <w:shd w:val="clear" w:color="auto" w:fill="auto"/>
            <w:noWrap/>
            <w:vAlign w:val="bottom"/>
            <w:hideMark/>
          </w:tcPr>
          <w:p w14:paraId="0F4D7C00"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49</w:t>
            </w:r>
          </w:p>
        </w:tc>
        <w:tc>
          <w:tcPr>
            <w:tcW w:w="960" w:type="dxa"/>
            <w:tcBorders>
              <w:top w:val="nil"/>
              <w:left w:val="nil"/>
              <w:bottom w:val="nil"/>
              <w:right w:val="single" w:sz="8" w:space="0" w:color="auto"/>
            </w:tcBorders>
            <w:shd w:val="clear" w:color="000000" w:fill="B4C6E7"/>
            <w:noWrap/>
            <w:vAlign w:val="bottom"/>
            <w:hideMark/>
          </w:tcPr>
          <w:p w14:paraId="2A9AB450"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neutral</w:t>
            </w:r>
          </w:p>
        </w:tc>
        <w:tc>
          <w:tcPr>
            <w:tcW w:w="960" w:type="dxa"/>
            <w:tcBorders>
              <w:top w:val="nil"/>
              <w:left w:val="nil"/>
              <w:bottom w:val="nil"/>
              <w:right w:val="nil"/>
            </w:tcBorders>
            <w:shd w:val="clear" w:color="auto" w:fill="auto"/>
            <w:noWrap/>
            <w:vAlign w:val="bottom"/>
            <w:hideMark/>
          </w:tcPr>
          <w:p w14:paraId="0C043044"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10.3%</w:t>
            </w:r>
          </w:p>
        </w:tc>
        <w:tc>
          <w:tcPr>
            <w:tcW w:w="960" w:type="dxa"/>
            <w:tcBorders>
              <w:top w:val="nil"/>
              <w:left w:val="nil"/>
              <w:bottom w:val="nil"/>
              <w:right w:val="nil"/>
            </w:tcBorders>
            <w:shd w:val="clear" w:color="auto" w:fill="auto"/>
            <w:noWrap/>
            <w:vAlign w:val="bottom"/>
            <w:hideMark/>
          </w:tcPr>
          <w:p w14:paraId="17BC53F5"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20.4%</w:t>
            </w:r>
          </w:p>
        </w:tc>
        <w:tc>
          <w:tcPr>
            <w:tcW w:w="960" w:type="dxa"/>
            <w:tcBorders>
              <w:top w:val="nil"/>
              <w:left w:val="nil"/>
              <w:bottom w:val="nil"/>
              <w:right w:val="nil"/>
            </w:tcBorders>
            <w:shd w:val="clear" w:color="auto" w:fill="auto"/>
            <w:noWrap/>
            <w:vAlign w:val="bottom"/>
            <w:hideMark/>
          </w:tcPr>
          <w:p w14:paraId="2EED9AC6"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49</w:t>
            </w:r>
          </w:p>
        </w:tc>
        <w:tc>
          <w:tcPr>
            <w:tcW w:w="960" w:type="dxa"/>
            <w:tcBorders>
              <w:top w:val="nil"/>
              <w:left w:val="nil"/>
              <w:bottom w:val="nil"/>
              <w:right w:val="single" w:sz="8" w:space="0" w:color="auto"/>
            </w:tcBorders>
            <w:shd w:val="clear" w:color="000000" w:fill="F4B084"/>
            <w:noWrap/>
            <w:vAlign w:val="bottom"/>
            <w:hideMark/>
          </w:tcPr>
          <w:p w14:paraId="6C575D51"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negative</w:t>
            </w:r>
          </w:p>
        </w:tc>
        <w:tc>
          <w:tcPr>
            <w:tcW w:w="960" w:type="dxa"/>
            <w:tcBorders>
              <w:top w:val="nil"/>
              <w:left w:val="nil"/>
              <w:bottom w:val="nil"/>
              <w:right w:val="nil"/>
            </w:tcBorders>
            <w:shd w:val="clear" w:color="auto" w:fill="auto"/>
            <w:noWrap/>
            <w:vAlign w:val="bottom"/>
            <w:hideMark/>
          </w:tcPr>
          <w:p w14:paraId="6EA3DFE3" w14:textId="77777777" w:rsidR="004467BB" w:rsidRPr="00D0763B" w:rsidRDefault="004467BB" w:rsidP="00F076B4">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14:paraId="1FD10439"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309BC2D1" w14:textId="77777777" w:rsidR="004467BB" w:rsidRPr="00D0763B" w:rsidRDefault="004467BB" w:rsidP="00F076B4">
            <w:pPr>
              <w:spacing w:after="0" w:line="240" w:lineRule="auto"/>
              <w:rPr>
                <w:rFonts w:ascii="Times New Roman" w:eastAsia="Times New Roman" w:hAnsi="Times New Roman" w:cs="Times New Roman"/>
                <w:sz w:val="20"/>
                <w:szCs w:val="20"/>
              </w:rPr>
            </w:pPr>
          </w:p>
        </w:tc>
      </w:tr>
      <w:tr w:rsidR="004467BB" w:rsidRPr="00D0763B" w14:paraId="772D2FDC" w14:textId="77777777" w:rsidTr="00F076B4">
        <w:trPr>
          <w:trHeight w:val="300"/>
        </w:trPr>
        <w:tc>
          <w:tcPr>
            <w:tcW w:w="960" w:type="dxa"/>
            <w:tcBorders>
              <w:top w:val="nil"/>
              <w:left w:val="nil"/>
              <w:bottom w:val="nil"/>
              <w:right w:val="nil"/>
            </w:tcBorders>
            <w:shd w:val="clear" w:color="auto" w:fill="auto"/>
            <w:noWrap/>
            <w:vAlign w:val="bottom"/>
            <w:hideMark/>
          </w:tcPr>
          <w:p w14:paraId="6FC0FA80"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Farr</w:t>
            </w:r>
          </w:p>
        </w:tc>
        <w:tc>
          <w:tcPr>
            <w:tcW w:w="960" w:type="dxa"/>
            <w:tcBorders>
              <w:top w:val="nil"/>
              <w:left w:val="single" w:sz="8" w:space="0" w:color="auto"/>
              <w:bottom w:val="nil"/>
              <w:right w:val="nil"/>
            </w:tcBorders>
            <w:shd w:val="clear" w:color="auto" w:fill="auto"/>
            <w:noWrap/>
            <w:vAlign w:val="bottom"/>
            <w:hideMark/>
          </w:tcPr>
          <w:p w14:paraId="5956FB88"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2.63*</w:t>
            </w:r>
          </w:p>
        </w:tc>
        <w:tc>
          <w:tcPr>
            <w:tcW w:w="960" w:type="dxa"/>
            <w:tcBorders>
              <w:top w:val="nil"/>
              <w:left w:val="nil"/>
              <w:bottom w:val="nil"/>
              <w:right w:val="nil"/>
            </w:tcBorders>
            <w:shd w:val="clear" w:color="auto" w:fill="auto"/>
            <w:noWrap/>
            <w:vAlign w:val="bottom"/>
            <w:hideMark/>
          </w:tcPr>
          <w:p w14:paraId="78FC7422"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2.65</w:t>
            </w:r>
          </w:p>
        </w:tc>
        <w:tc>
          <w:tcPr>
            <w:tcW w:w="980" w:type="dxa"/>
            <w:tcBorders>
              <w:top w:val="nil"/>
              <w:left w:val="nil"/>
              <w:bottom w:val="nil"/>
              <w:right w:val="nil"/>
            </w:tcBorders>
            <w:shd w:val="clear" w:color="auto" w:fill="auto"/>
            <w:noWrap/>
            <w:vAlign w:val="bottom"/>
            <w:hideMark/>
          </w:tcPr>
          <w:p w14:paraId="0800337E"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146</w:t>
            </w:r>
          </w:p>
        </w:tc>
        <w:tc>
          <w:tcPr>
            <w:tcW w:w="960" w:type="dxa"/>
            <w:tcBorders>
              <w:top w:val="nil"/>
              <w:left w:val="nil"/>
              <w:bottom w:val="nil"/>
              <w:right w:val="single" w:sz="8" w:space="0" w:color="auto"/>
            </w:tcBorders>
            <w:shd w:val="clear" w:color="000000" w:fill="B4C6E7"/>
            <w:noWrap/>
            <w:vAlign w:val="bottom"/>
            <w:hideMark/>
          </w:tcPr>
          <w:p w14:paraId="0AC4150F"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neutral</w:t>
            </w:r>
          </w:p>
        </w:tc>
        <w:tc>
          <w:tcPr>
            <w:tcW w:w="960" w:type="dxa"/>
            <w:tcBorders>
              <w:top w:val="nil"/>
              <w:left w:val="nil"/>
              <w:bottom w:val="nil"/>
              <w:right w:val="nil"/>
            </w:tcBorders>
            <w:shd w:val="clear" w:color="auto" w:fill="auto"/>
            <w:noWrap/>
            <w:vAlign w:val="bottom"/>
            <w:hideMark/>
          </w:tcPr>
          <w:p w14:paraId="1F68A157"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 xml:space="preserve">11.2%* </w:t>
            </w:r>
          </w:p>
        </w:tc>
        <w:tc>
          <w:tcPr>
            <w:tcW w:w="960" w:type="dxa"/>
            <w:tcBorders>
              <w:top w:val="nil"/>
              <w:left w:val="nil"/>
              <w:bottom w:val="nil"/>
              <w:right w:val="nil"/>
            </w:tcBorders>
            <w:shd w:val="clear" w:color="auto" w:fill="auto"/>
            <w:noWrap/>
            <w:vAlign w:val="bottom"/>
            <w:hideMark/>
          </w:tcPr>
          <w:p w14:paraId="0C0245A0"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15.7%</w:t>
            </w:r>
          </w:p>
        </w:tc>
        <w:tc>
          <w:tcPr>
            <w:tcW w:w="960" w:type="dxa"/>
            <w:tcBorders>
              <w:top w:val="nil"/>
              <w:left w:val="nil"/>
              <w:bottom w:val="nil"/>
              <w:right w:val="nil"/>
            </w:tcBorders>
            <w:shd w:val="clear" w:color="auto" w:fill="auto"/>
            <w:noWrap/>
            <w:vAlign w:val="bottom"/>
            <w:hideMark/>
          </w:tcPr>
          <w:p w14:paraId="4E35B562"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146</w:t>
            </w:r>
          </w:p>
        </w:tc>
        <w:tc>
          <w:tcPr>
            <w:tcW w:w="960" w:type="dxa"/>
            <w:tcBorders>
              <w:top w:val="nil"/>
              <w:left w:val="nil"/>
              <w:bottom w:val="nil"/>
              <w:right w:val="single" w:sz="8" w:space="0" w:color="auto"/>
            </w:tcBorders>
            <w:shd w:val="clear" w:color="000000" w:fill="B4C6E7"/>
            <w:noWrap/>
            <w:vAlign w:val="bottom"/>
            <w:hideMark/>
          </w:tcPr>
          <w:p w14:paraId="7D7C5B85"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neutral</w:t>
            </w:r>
          </w:p>
        </w:tc>
        <w:tc>
          <w:tcPr>
            <w:tcW w:w="960" w:type="dxa"/>
            <w:tcBorders>
              <w:top w:val="nil"/>
              <w:left w:val="nil"/>
              <w:bottom w:val="nil"/>
              <w:right w:val="nil"/>
            </w:tcBorders>
            <w:shd w:val="clear" w:color="auto" w:fill="auto"/>
            <w:noWrap/>
            <w:vAlign w:val="bottom"/>
            <w:hideMark/>
          </w:tcPr>
          <w:p w14:paraId="26D0053D" w14:textId="77777777" w:rsidR="004467BB" w:rsidRPr="00D0763B" w:rsidRDefault="004467BB" w:rsidP="00F076B4">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14:paraId="1565BBD2"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7AE325C7" w14:textId="77777777" w:rsidR="004467BB" w:rsidRPr="00D0763B" w:rsidRDefault="004467BB" w:rsidP="00F076B4">
            <w:pPr>
              <w:spacing w:after="0" w:line="240" w:lineRule="auto"/>
              <w:rPr>
                <w:rFonts w:ascii="Times New Roman" w:eastAsia="Times New Roman" w:hAnsi="Times New Roman" w:cs="Times New Roman"/>
                <w:sz w:val="20"/>
                <w:szCs w:val="20"/>
              </w:rPr>
            </w:pPr>
          </w:p>
        </w:tc>
      </w:tr>
      <w:tr w:rsidR="004467BB" w:rsidRPr="00D0763B" w14:paraId="61A51060" w14:textId="77777777" w:rsidTr="00F076B4">
        <w:trPr>
          <w:trHeight w:val="300"/>
        </w:trPr>
        <w:tc>
          <w:tcPr>
            <w:tcW w:w="960" w:type="dxa"/>
            <w:tcBorders>
              <w:top w:val="nil"/>
              <w:left w:val="nil"/>
              <w:bottom w:val="nil"/>
              <w:right w:val="nil"/>
            </w:tcBorders>
            <w:shd w:val="clear" w:color="auto" w:fill="auto"/>
            <w:noWrap/>
            <w:vAlign w:val="bottom"/>
            <w:hideMark/>
          </w:tcPr>
          <w:p w14:paraId="1B9212C5"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Johnson</w:t>
            </w:r>
          </w:p>
        </w:tc>
        <w:tc>
          <w:tcPr>
            <w:tcW w:w="960" w:type="dxa"/>
            <w:tcBorders>
              <w:top w:val="nil"/>
              <w:left w:val="single" w:sz="8" w:space="0" w:color="auto"/>
              <w:bottom w:val="nil"/>
              <w:right w:val="nil"/>
            </w:tcBorders>
            <w:shd w:val="clear" w:color="auto" w:fill="auto"/>
            <w:noWrap/>
            <w:vAlign w:val="bottom"/>
            <w:hideMark/>
          </w:tcPr>
          <w:p w14:paraId="4DE6CF2E"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3.75*</w:t>
            </w:r>
          </w:p>
        </w:tc>
        <w:tc>
          <w:tcPr>
            <w:tcW w:w="960" w:type="dxa"/>
            <w:tcBorders>
              <w:top w:val="nil"/>
              <w:left w:val="nil"/>
              <w:bottom w:val="nil"/>
              <w:right w:val="nil"/>
            </w:tcBorders>
            <w:shd w:val="clear" w:color="auto" w:fill="auto"/>
            <w:noWrap/>
            <w:vAlign w:val="bottom"/>
            <w:hideMark/>
          </w:tcPr>
          <w:p w14:paraId="2AA6F9B8"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3.73</w:t>
            </w:r>
          </w:p>
        </w:tc>
        <w:tc>
          <w:tcPr>
            <w:tcW w:w="980" w:type="dxa"/>
            <w:tcBorders>
              <w:top w:val="nil"/>
              <w:left w:val="nil"/>
              <w:bottom w:val="nil"/>
              <w:right w:val="nil"/>
            </w:tcBorders>
            <w:shd w:val="clear" w:color="auto" w:fill="auto"/>
            <w:noWrap/>
            <w:vAlign w:val="bottom"/>
            <w:hideMark/>
          </w:tcPr>
          <w:p w14:paraId="62C6D1CC"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199</w:t>
            </w:r>
          </w:p>
        </w:tc>
        <w:tc>
          <w:tcPr>
            <w:tcW w:w="960" w:type="dxa"/>
            <w:tcBorders>
              <w:top w:val="nil"/>
              <w:left w:val="nil"/>
              <w:bottom w:val="nil"/>
              <w:right w:val="single" w:sz="8" w:space="0" w:color="auto"/>
            </w:tcBorders>
            <w:shd w:val="clear" w:color="000000" w:fill="B4C6E7"/>
            <w:noWrap/>
            <w:vAlign w:val="bottom"/>
            <w:hideMark/>
          </w:tcPr>
          <w:p w14:paraId="006B63AB"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neutral</w:t>
            </w:r>
          </w:p>
        </w:tc>
        <w:tc>
          <w:tcPr>
            <w:tcW w:w="960" w:type="dxa"/>
            <w:tcBorders>
              <w:top w:val="nil"/>
              <w:left w:val="nil"/>
              <w:bottom w:val="nil"/>
              <w:right w:val="nil"/>
            </w:tcBorders>
            <w:shd w:val="clear" w:color="auto" w:fill="auto"/>
            <w:noWrap/>
            <w:vAlign w:val="bottom"/>
            <w:hideMark/>
          </w:tcPr>
          <w:p w14:paraId="32DB4175"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5.4%*</w:t>
            </w:r>
          </w:p>
        </w:tc>
        <w:tc>
          <w:tcPr>
            <w:tcW w:w="960" w:type="dxa"/>
            <w:tcBorders>
              <w:top w:val="nil"/>
              <w:left w:val="nil"/>
              <w:bottom w:val="nil"/>
              <w:right w:val="nil"/>
            </w:tcBorders>
            <w:shd w:val="clear" w:color="auto" w:fill="auto"/>
            <w:noWrap/>
            <w:vAlign w:val="bottom"/>
            <w:hideMark/>
          </w:tcPr>
          <w:p w14:paraId="206AF109"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5.4%</w:t>
            </w:r>
          </w:p>
        </w:tc>
        <w:tc>
          <w:tcPr>
            <w:tcW w:w="960" w:type="dxa"/>
            <w:tcBorders>
              <w:top w:val="nil"/>
              <w:left w:val="nil"/>
              <w:bottom w:val="nil"/>
              <w:right w:val="nil"/>
            </w:tcBorders>
            <w:shd w:val="clear" w:color="auto" w:fill="auto"/>
            <w:noWrap/>
            <w:vAlign w:val="bottom"/>
            <w:hideMark/>
          </w:tcPr>
          <w:p w14:paraId="41ADA8D8"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199</w:t>
            </w:r>
          </w:p>
        </w:tc>
        <w:tc>
          <w:tcPr>
            <w:tcW w:w="960" w:type="dxa"/>
            <w:tcBorders>
              <w:top w:val="nil"/>
              <w:left w:val="nil"/>
              <w:bottom w:val="nil"/>
              <w:right w:val="single" w:sz="8" w:space="0" w:color="auto"/>
            </w:tcBorders>
            <w:shd w:val="clear" w:color="000000" w:fill="B4C6E7"/>
            <w:noWrap/>
            <w:vAlign w:val="bottom"/>
            <w:hideMark/>
          </w:tcPr>
          <w:p w14:paraId="3E333C00"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neutral</w:t>
            </w:r>
          </w:p>
        </w:tc>
        <w:tc>
          <w:tcPr>
            <w:tcW w:w="960" w:type="dxa"/>
            <w:tcBorders>
              <w:top w:val="nil"/>
              <w:left w:val="nil"/>
              <w:bottom w:val="nil"/>
              <w:right w:val="nil"/>
            </w:tcBorders>
            <w:shd w:val="clear" w:color="auto" w:fill="auto"/>
            <w:noWrap/>
            <w:vAlign w:val="bottom"/>
            <w:hideMark/>
          </w:tcPr>
          <w:p w14:paraId="4E919FC5" w14:textId="77777777" w:rsidR="004467BB" w:rsidRPr="00D0763B" w:rsidRDefault="004467BB" w:rsidP="00F076B4">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14:paraId="43AB2541"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17C0FC8B" w14:textId="77777777" w:rsidR="004467BB" w:rsidRPr="00D0763B" w:rsidRDefault="004467BB" w:rsidP="00F076B4">
            <w:pPr>
              <w:spacing w:after="0" w:line="240" w:lineRule="auto"/>
              <w:rPr>
                <w:rFonts w:ascii="Times New Roman" w:eastAsia="Times New Roman" w:hAnsi="Times New Roman" w:cs="Times New Roman"/>
                <w:sz w:val="20"/>
                <w:szCs w:val="20"/>
              </w:rPr>
            </w:pPr>
          </w:p>
        </w:tc>
      </w:tr>
      <w:tr w:rsidR="004467BB" w:rsidRPr="00D0763B" w14:paraId="062D70C2" w14:textId="77777777" w:rsidTr="00F076B4">
        <w:trPr>
          <w:trHeight w:val="300"/>
        </w:trPr>
        <w:tc>
          <w:tcPr>
            <w:tcW w:w="960" w:type="dxa"/>
            <w:tcBorders>
              <w:top w:val="nil"/>
              <w:left w:val="nil"/>
              <w:bottom w:val="nil"/>
              <w:right w:val="nil"/>
            </w:tcBorders>
            <w:shd w:val="clear" w:color="auto" w:fill="auto"/>
            <w:noWrap/>
            <w:vAlign w:val="bottom"/>
            <w:hideMark/>
          </w:tcPr>
          <w:p w14:paraId="14720F57"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Stephens</w:t>
            </w:r>
          </w:p>
        </w:tc>
        <w:tc>
          <w:tcPr>
            <w:tcW w:w="960" w:type="dxa"/>
            <w:tcBorders>
              <w:top w:val="nil"/>
              <w:left w:val="single" w:sz="8" w:space="0" w:color="auto"/>
              <w:bottom w:val="nil"/>
              <w:right w:val="nil"/>
            </w:tcBorders>
            <w:shd w:val="clear" w:color="auto" w:fill="auto"/>
            <w:noWrap/>
            <w:vAlign w:val="bottom"/>
            <w:hideMark/>
          </w:tcPr>
          <w:p w14:paraId="76C3359F"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2.97</w:t>
            </w:r>
          </w:p>
        </w:tc>
        <w:tc>
          <w:tcPr>
            <w:tcW w:w="960" w:type="dxa"/>
            <w:tcBorders>
              <w:top w:val="nil"/>
              <w:left w:val="nil"/>
              <w:bottom w:val="nil"/>
              <w:right w:val="nil"/>
            </w:tcBorders>
            <w:shd w:val="clear" w:color="auto" w:fill="auto"/>
            <w:noWrap/>
            <w:vAlign w:val="bottom"/>
            <w:hideMark/>
          </w:tcPr>
          <w:p w14:paraId="39ED1DBB"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3.56</w:t>
            </w:r>
          </w:p>
        </w:tc>
        <w:tc>
          <w:tcPr>
            <w:tcW w:w="980" w:type="dxa"/>
            <w:tcBorders>
              <w:top w:val="nil"/>
              <w:left w:val="nil"/>
              <w:bottom w:val="nil"/>
              <w:right w:val="nil"/>
            </w:tcBorders>
            <w:shd w:val="clear" w:color="auto" w:fill="auto"/>
            <w:noWrap/>
            <w:vAlign w:val="bottom"/>
            <w:hideMark/>
          </w:tcPr>
          <w:p w14:paraId="589A6A45"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95</w:t>
            </w:r>
          </w:p>
        </w:tc>
        <w:tc>
          <w:tcPr>
            <w:tcW w:w="960" w:type="dxa"/>
            <w:tcBorders>
              <w:top w:val="nil"/>
              <w:left w:val="nil"/>
              <w:bottom w:val="nil"/>
              <w:right w:val="single" w:sz="8" w:space="0" w:color="auto"/>
            </w:tcBorders>
            <w:shd w:val="clear" w:color="000000" w:fill="C6E0B4"/>
            <w:noWrap/>
            <w:vAlign w:val="bottom"/>
            <w:hideMark/>
          </w:tcPr>
          <w:p w14:paraId="36EBC304"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positive</w:t>
            </w:r>
          </w:p>
        </w:tc>
        <w:tc>
          <w:tcPr>
            <w:tcW w:w="960" w:type="dxa"/>
            <w:tcBorders>
              <w:top w:val="nil"/>
              <w:left w:val="nil"/>
              <w:bottom w:val="nil"/>
              <w:right w:val="nil"/>
            </w:tcBorders>
            <w:shd w:val="clear" w:color="auto" w:fill="auto"/>
            <w:noWrap/>
            <w:vAlign w:val="bottom"/>
            <w:hideMark/>
          </w:tcPr>
          <w:p w14:paraId="0DA54427"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13.6%</w:t>
            </w:r>
          </w:p>
        </w:tc>
        <w:tc>
          <w:tcPr>
            <w:tcW w:w="960" w:type="dxa"/>
            <w:tcBorders>
              <w:top w:val="nil"/>
              <w:left w:val="nil"/>
              <w:bottom w:val="nil"/>
              <w:right w:val="nil"/>
            </w:tcBorders>
            <w:shd w:val="clear" w:color="auto" w:fill="auto"/>
            <w:noWrap/>
            <w:vAlign w:val="bottom"/>
            <w:hideMark/>
          </w:tcPr>
          <w:p w14:paraId="18343B87"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7.3%</w:t>
            </w:r>
          </w:p>
        </w:tc>
        <w:tc>
          <w:tcPr>
            <w:tcW w:w="960" w:type="dxa"/>
            <w:tcBorders>
              <w:top w:val="nil"/>
              <w:left w:val="nil"/>
              <w:bottom w:val="nil"/>
              <w:right w:val="nil"/>
            </w:tcBorders>
            <w:shd w:val="clear" w:color="auto" w:fill="auto"/>
            <w:noWrap/>
            <w:vAlign w:val="bottom"/>
            <w:hideMark/>
          </w:tcPr>
          <w:p w14:paraId="26DC55BA"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95</w:t>
            </w:r>
          </w:p>
        </w:tc>
        <w:tc>
          <w:tcPr>
            <w:tcW w:w="960" w:type="dxa"/>
            <w:tcBorders>
              <w:top w:val="nil"/>
              <w:left w:val="nil"/>
              <w:bottom w:val="nil"/>
              <w:right w:val="single" w:sz="8" w:space="0" w:color="auto"/>
            </w:tcBorders>
            <w:shd w:val="clear" w:color="000000" w:fill="B4C6E7"/>
            <w:noWrap/>
            <w:vAlign w:val="bottom"/>
            <w:hideMark/>
          </w:tcPr>
          <w:p w14:paraId="6DD19670"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neutral</w:t>
            </w:r>
          </w:p>
        </w:tc>
        <w:tc>
          <w:tcPr>
            <w:tcW w:w="960" w:type="dxa"/>
            <w:tcBorders>
              <w:top w:val="nil"/>
              <w:left w:val="nil"/>
              <w:bottom w:val="nil"/>
              <w:right w:val="nil"/>
            </w:tcBorders>
            <w:shd w:val="clear" w:color="auto" w:fill="auto"/>
            <w:noWrap/>
            <w:vAlign w:val="bottom"/>
            <w:hideMark/>
          </w:tcPr>
          <w:p w14:paraId="1C8526AC" w14:textId="77777777" w:rsidR="004467BB" w:rsidRPr="00D0763B" w:rsidRDefault="004467BB" w:rsidP="00F076B4">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14:paraId="3B296230"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3DA88CC7" w14:textId="77777777" w:rsidR="004467BB" w:rsidRPr="00D0763B" w:rsidRDefault="004467BB" w:rsidP="00F076B4">
            <w:pPr>
              <w:spacing w:after="0" w:line="240" w:lineRule="auto"/>
              <w:rPr>
                <w:rFonts w:ascii="Times New Roman" w:eastAsia="Times New Roman" w:hAnsi="Times New Roman" w:cs="Times New Roman"/>
                <w:sz w:val="20"/>
                <w:szCs w:val="20"/>
              </w:rPr>
            </w:pPr>
          </w:p>
        </w:tc>
      </w:tr>
      <w:tr w:rsidR="004467BB" w:rsidRPr="00D0763B" w14:paraId="56B7C468" w14:textId="77777777" w:rsidTr="00F076B4">
        <w:trPr>
          <w:trHeight w:val="300"/>
        </w:trPr>
        <w:tc>
          <w:tcPr>
            <w:tcW w:w="960" w:type="dxa"/>
            <w:tcBorders>
              <w:top w:val="nil"/>
              <w:left w:val="nil"/>
              <w:bottom w:val="nil"/>
              <w:right w:val="nil"/>
            </w:tcBorders>
            <w:shd w:val="clear" w:color="auto" w:fill="auto"/>
            <w:noWrap/>
            <w:vAlign w:val="bottom"/>
            <w:hideMark/>
          </w:tcPr>
          <w:p w14:paraId="184B7A60"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Treiber</w:t>
            </w:r>
          </w:p>
        </w:tc>
        <w:tc>
          <w:tcPr>
            <w:tcW w:w="960" w:type="dxa"/>
            <w:tcBorders>
              <w:top w:val="nil"/>
              <w:left w:val="single" w:sz="8" w:space="0" w:color="auto"/>
              <w:bottom w:val="nil"/>
              <w:right w:val="nil"/>
            </w:tcBorders>
            <w:shd w:val="clear" w:color="auto" w:fill="auto"/>
            <w:noWrap/>
            <w:vAlign w:val="bottom"/>
            <w:hideMark/>
          </w:tcPr>
          <w:p w14:paraId="22A27BAF"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w:t>
            </w:r>
          </w:p>
        </w:tc>
        <w:tc>
          <w:tcPr>
            <w:tcW w:w="960" w:type="dxa"/>
            <w:tcBorders>
              <w:top w:val="nil"/>
              <w:left w:val="nil"/>
              <w:bottom w:val="nil"/>
              <w:right w:val="nil"/>
            </w:tcBorders>
            <w:shd w:val="clear" w:color="auto" w:fill="auto"/>
            <w:noWrap/>
            <w:vAlign w:val="bottom"/>
            <w:hideMark/>
          </w:tcPr>
          <w:p w14:paraId="4E6FB500"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3.47</w:t>
            </w:r>
          </w:p>
        </w:tc>
        <w:tc>
          <w:tcPr>
            <w:tcW w:w="980" w:type="dxa"/>
            <w:tcBorders>
              <w:top w:val="nil"/>
              <w:left w:val="nil"/>
              <w:bottom w:val="nil"/>
              <w:right w:val="nil"/>
            </w:tcBorders>
            <w:shd w:val="clear" w:color="auto" w:fill="auto"/>
            <w:noWrap/>
            <w:vAlign w:val="bottom"/>
            <w:hideMark/>
          </w:tcPr>
          <w:p w14:paraId="2E7FA555"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48</w:t>
            </w:r>
          </w:p>
        </w:tc>
        <w:tc>
          <w:tcPr>
            <w:tcW w:w="960" w:type="dxa"/>
            <w:tcBorders>
              <w:top w:val="nil"/>
              <w:left w:val="nil"/>
              <w:bottom w:val="nil"/>
              <w:right w:val="single" w:sz="8" w:space="0" w:color="auto"/>
            </w:tcBorders>
            <w:shd w:val="clear" w:color="auto" w:fill="auto"/>
            <w:noWrap/>
            <w:vAlign w:val="bottom"/>
            <w:hideMark/>
          </w:tcPr>
          <w:p w14:paraId="71F669AB"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w:t>
            </w:r>
          </w:p>
        </w:tc>
        <w:tc>
          <w:tcPr>
            <w:tcW w:w="960" w:type="dxa"/>
            <w:tcBorders>
              <w:top w:val="nil"/>
              <w:left w:val="nil"/>
              <w:bottom w:val="nil"/>
              <w:right w:val="nil"/>
            </w:tcBorders>
            <w:shd w:val="clear" w:color="auto" w:fill="auto"/>
            <w:noWrap/>
            <w:vAlign w:val="bottom"/>
            <w:hideMark/>
          </w:tcPr>
          <w:p w14:paraId="1540C361"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w:t>
            </w:r>
          </w:p>
        </w:tc>
        <w:tc>
          <w:tcPr>
            <w:tcW w:w="960" w:type="dxa"/>
            <w:tcBorders>
              <w:top w:val="nil"/>
              <w:left w:val="nil"/>
              <w:bottom w:val="nil"/>
              <w:right w:val="nil"/>
            </w:tcBorders>
            <w:shd w:val="clear" w:color="auto" w:fill="auto"/>
            <w:noWrap/>
            <w:vAlign w:val="bottom"/>
            <w:hideMark/>
          </w:tcPr>
          <w:p w14:paraId="70941642"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12.5%</w:t>
            </w:r>
          </w:p>
        </w:tc>
        <w:tc>
          <w:tcPr>
            <w:tcW w:w="960" w:type="dxa"/>
            <w:tcBorders>
              <w:top w:val="nil"/>
              <w:left w:val="nil"/>
              <w:bottom w:val="nil"/>
              <w:right w:val="nil"/>
            </w:tcBorders>
            <w:shd w:val="clear" w:color="auto" w:fill="auto"/>
            <w:noWrap/>
            <w:vAlign w:val="bottom"/>
            <w:hideMark/>
          </w:tcPr>
          <w:p w14:paraId="7C26E0C0"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48</w:t>
            </w:r>
          </w:p>
        </w:tc>
        <w:tc>
          <w:tcPr>
            <w:tcW w:w="960" w:type="dxa"/>
            <w:tcBorders>
              <w:top w:val="nil"/>
              <w:left w:val="nil"/>
              <w:bottom w:val="nil"/>
              <w:right w:val="single" w:sz="8" w:space="0" w:color="auto"/>
            </w:tcBorders>
            <w:shd w:val="clear" w:color="auto" w:fill="auto"/>
            <w:noWrap/>
            <w:vAlign w:val="bottom"/>
            <w:hideMark/>
          </w:tcPr>
          <w:p w14:paraId="7A8932D6"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w:t>
            </w:r>
          </w:p>
        </w:tc>
        <w:tc>
          <w:tcPr>
            <w:tcW w:w="960" w:type="dxa"/>
            <w:tcBorders>
              <w:top w:val="nil"/>
              <w:left w:val="nil"/>
              <w:bottom w:val="nil"/>
              <w:right w:val="nil"/>
            </w:tcBorders>
            <w:shd w:val="clear" w:color="auto" w:fill="auto"/>
            <w:noWrap/>
            <w:vAlign w:val="bottom"/>
            <w:hideMark/>
          </w:tcPr>
          <w:p w14:paraId="7C703D24" w14:textId="77777777" w:rsidR="004467BB" w:rsidRPr="00D0763B" w:rsidRDefault="004467BB" w:rsidP="00F076B4">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14:paraId="78E68297"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3E2CC614" w14:textId="77777777" w:rsidR="004467BB" w:rsidRPr="00D0763B" w:rsidRDefault="004467BB" w:rsidP="00F076B4">
            <w:pPr>
              <w:spacing w:after="0" w:line="240" w:lineRule="auto"/>
              <w:rPr>
                <w:rFonts w:ascii="Times New Roman" w:eastAsia="Times New Roman" w:hAnsi="Times New Roman" w:cs="Times New Roman"/>
                <w:sz w:val="20"/>
                <w:szCs w:val="20"/>
              </w:rPr>
            </w:pPr>
          </w:p>
        </w:tc>
      </w:tr>
      <w:tr w:rsidR="004467BB" w:rsidRPr="00D0763B" w14:paraId="139C108D" w14:textId="77777777" w:rsidTr="00F076B4">
        <w:trPr>
          <w:trHeight w:val="315"/>
        </w:trPr>
        <w:tc>
          <w:tcPr>
            <w:tcW w:w="960" w:type="dxa"/>
            <w:tcBorders>
              <w:top w:val="nil"/>
              <w:left w:val="nil"/>
              <w:bottom w:val="nil"/>
              <w:right w:val="nil"/>
            </w:tcBorders>
            <w:shd w:val="clear" w:color="auto" w:fill="auto"/>
            <w:noWrap/>
            <w:vAlign w:val="bottom"/>
            <w:hideMark/>
          </w:tcPr>
          <w:p w14:paraId="62F6AD22"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White</w:t>
            </w:r>
          </w:p>
        </w:tc>
        <w:tc>
          <w:tcPr>
            <w:tcW w:w="960" w:type="dxa"/>
            <w:tcBorders>
              <w:top w:val="nil"/>
              <w:left w:val="single" w:sz="8" w:space="0" w:color="auto"/>
              <w:bottom w:val="single" w:sz="8" w:space="0" w:color="auto"/>
              <w:right w:val="nil"/>
            </w:tcBorders>
            <w:shd w:val="clear" w:color="auto" w:fill="auto"/>
            <w:noWrap/>
            <w:vAlign w:val="bottom"/>
            <w:hideMark/>
          </w:tcPr>
          <w:p w14:paraId="2C5CEC03"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3.75</w:t>
            </w:r>
          </w:p>
        </w:tc>
        <w:tc>
          <w:tcPr>
            <w:tcW w:w="960" w:type="dxa"/>
            <w:tcBorders>
              <w:top w:val="nil"/>
              <w:left w:val="nil"/>
              <w:bottom w:val="single" w:sz="8" w:space="0" w:color="auto"/>
              <w:right w:val="nil"/>
            </w:tcBorders>
            <w:shd w:val="clear" w:color="auto" w:fill="auto"/>
            <w:noWrap/>
            <w:vAlign w:val="bottom"/>
            <w:hideMark/>
          </w:tcPr>
          <w:p w14:paraId="03D6EFD5"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3.58</w:t>
            </w:r>
          </w:p>
        </w:tc>
        <w:tc>
          <w:tcPr>
            <w:tcW w:w="980" w:type="dxa"/>
            <w:tcBorders>
              <w:top w:val="nil"/>
              <w:left w:val="nil"/>
              <w:bottom w:val="single" w:sz="8" w:space="0" w:color="auto"/>
              <w:right w:val="nil"/>
            </w:tcBorders>
            <w:shd w:val="clear" w:color="auto" w:fill="auto"/>
            <w:noWrap/>
            <w:vAlign w:val="bottom"/>
            <w:hideMark/>
          </w:tcPr>
          <w:p w14:paraId="67BB6F74"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269</w:t>
            </w:r>
          </w:p>
        </w:tc>
        <w:tc>
          <w:tcPr>
            <w:tcW w:w="960" w:type="dxa"/>
            <w:tcBorders>
              <w:top w:val="nil"/>
              <w:left w:val="nil"/>
              <w:bottom w:val="single" w:sz="8" w:space="0" w:color="auto"/>
              <w:right w:val="single" w:sz="8" w:space="0" w:color="auto"/>
            </w:tcBorders>
            <w:shd w:val="clear" w:color="000000" w:fill="B4C6E7"/>
            <w:noWrap/>
            <w:vAlign w:val="bottom"/>
            <w:hideMark/>
          </w:tcPr>
          <w:p w14:paraId="1CAFB45F"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neutral</w:t>
            </w:r>
          </w:p>
        </w:tc>
        <w:tc>
          <w:tcPr>
            <w:tcW w:w="960" w:type="dxa"/>
            <w:tcBorders>
              <w:top w:val="nil"/>
              <w:left w:val="nil"/>
              <w:bottom w:val="single" w:sz="8" w:space="0" w:color="auto"/>
              <w:right w:val="nil"/>
            </w:tcBorders>
            <w:shd w:val="clear" w:color="auto" w:fill="auto"/>
            <w:noWrap/>
            <w:vAlign w:val="bottom"/>
            <w:hideMark/>
          </w:tcPr>
          <w:p w14:paraId="1BA76453"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2.3%</w:t>
            </w:r>
          </w:p>
        </w:tc>
        <w:tc>
          <w:tcPr>
            <w:tcW w:w="960" w:type="dxa"/>
            <w:tcBorders>
              <w:top w:val="nil"/>
              <w:left w:val="nil"/>
              <w:bottom w:val="single" w:sz="8" w:space="0" w:color="auto"/>
              <w:right w:val="nil"/>
            </w:tcBorders>
            <w:shd w:val="clear" w:color="auto" w:fill="auto"/>
            <w:noWrap/>
            <w:vAlign w:val="bottom"/>
            <w:hideMark/>
          </w:tcPr>
          <w:p w14:paraId="7FC08663"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4.8%</w:t>
            </w:r>
          </w:p>
        </w:tc>
        <w:tc>
          <w:tcPr>
            <w:tcW w:w="960" w:type="dxa"/>
            <w:tcBorders>
              <w:top w:val="nil"/>
              <w:left w:val="nil"/>
              <w:bottom w:val="single" w:sz="8" w:space="0" w:color="auto"/>
              <w:right w:val="nil"/>
            </w:tcBorders>
            <w:shd w:val="clear" w:color="auto" w:fill="auto"/>
            <w:noWrap/>
            <w:vAlign w:val="bottom"/>
            <w:hideMark/>
          </w:tcPr>
          <w:p w14:paraId="17F073B0"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269</w:t>
            </w:r>
          </w:p>
        </w:tc>
        <w:tc>
          <w:tcPr>
            <w:tcW w:w="960" w:type="dxa"/>
            <w:tcBorders>
              <w:top w:val="nil"/>
              <w:left w:val="nil"/>
              <w:bottom w:val="single" w:sz="8" w:space="0" w:color="auto"/>
              <w:right w:val="single" w:sz="8" w:space="0" w:color="auto"/>
            </w:tcBorders>
            <w:shd w:val="clear" w:color="000000" w:fill="B4C6E7"/>
            <w:noWrap/>
            <w:vAlign w:val="bottom"/>
            <w:hideMark/>
          </w:tcPr>
          <w:p w14:paraId="7E92D3D1"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neutral</w:t>
            </w:r>
          </w:p>
        </w:tc>
        <w:tc>
          <w:tcPr>
            <w:tcW w:w="960" w:type="dxa"/>
            <w:tcBorders>
              <w:top w:val="nil"/>
              <w:left w:val="nil"/>
              <w:bottom w:val="nil"/>
              <w:right w:val="nil"/>
            </w:tcBorders>
            <w:shd w:val="clear" w:color="auto" w:fill="auto"/>
            <w:noWrap/>
            <w:vAlign w:val="bottom"/>
            <w:hideMark/>
          </w:tcPr>
          <w:p w14:paraId="61D4F18F" w14:textId="77777777" w:rsidR="004467BB" w:rsidRPr="00D0763B" w:rsidRDefault="004467BB" w:rsidP="00F076B4">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14:paraId="4143E5DF"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64D67D91" w14:textId="77777777" w:rsidR="004467BB" w:rsidRPr="00D0763B" w:rsidRDefault="004467BB" w:rsidP="00F076B4">
            <w:pPr>
              <w:spacing w:after="0" w:line="240" w:lineRule="auto"/>
              <w:rPr>
                <w:rFonts w:ascii="Times New Roman" w:eastAsia="Times New Roman" w:hAnsi="Times New Roman" w:cs="Times New Roman"/>
                <w:sz w:val="20"/>
                <w:szCs w:val="20"/>
              </w:rPr>
            </w:pPr>
          </w:p>
        </w:tc>
      </w:tr>
      <w:tr w:rsidR="004467BB" w:rsidRPr="00D0763B" w14:paraId="56C8C8D6" w14:textId="77777777" w:rsidTr="00F076B4">
        <w:trPr>
          <w:trHeight w:val="300"/>
        </w:trPr>
        <w:tc>
          <w:tcPr>
            <w:tcW w:w="960" w:type="dxa"/>
            <w:tcBorders>
              <w:top w:val="nil"/>
              <w:left w:val="nil"/>
              <w:bottom w:val="nil"/>
              <w:right w:val="nil"/>
            </w:tcBorders>
            <w:shd w:val="clear" w:color="auto" w:fill="auto"/>
            <w:noWrap/>
            <w:vAlign w:val="bottom"/>
            <w:hideMark/>
          </w:tcPr>
          <w:p w14:paraId="6533A1C6"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08D21DBF"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7FCBE2AD"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n=</w:t>
            </w:r>
          </w:p>
        </w:tc>
        <w:tc>
          <w:tcPr>
            <w:tcW w:w="980" w:type="dxa"/>
            <w:tcBorders>
              <w:top w:val="nil"/>
              <w:left w:val="nil"/>
              <w:bottom w:val="nil"/>
              <w:right w:val="nil"/>
            </w:tcBorders>
            <w:shd w:val="clear" w:color="auto" w:fill="auto"/>
            <w:noWrap/>
            <w:vAlign w:val="bottom"/>
            <w:hideMark/>
          </w:tcPr>
          <w:p w14:paraId="4BC41330"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806</w:t>
            </w:r>
          </w:p>
        </w:tc>
        <w:tc>
          <w:tcPr>
            <w:tcW w:w="960" w:type="dxa"/>
            <w:tcBorders>
              <w:top w:val="nil"/>
              <w:left w:val="nil"/>
              <w:bottom w:val="nil"/>
              <w:right w:val="nil"/>
            </w:tcBorders>
            <w:shd w:val="clear" w:color="auto" w:fill="auto"/>
            <w:noWrap/>
            <w:vAlign w:val="bottom"/>
            <w:hideMark/>
          </w:tcPr>
          <w:p w14:paraId="3C20FA85" w14:textId="77777777" w:rsidR="004467BB" w:rsidRPr="00D0763B" w:rsidRDefault="004467BB" w:rsidP="00F076B4">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14:paraId="5837913D"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66CBB197" w14:textId="77777777" w:rsidR="004467BB" w:rsidRPr="00D0763B" w:rsidRDefault="004467BB" w:rsidP="00F076B4">
            <w:pPr>
              <w:spacing w:after="0" w:line="240" w:lineRule="auto"/>
              <w:jc w:val="right"/>
              <w:rPr>
                <w:rFonts w:ascii="Calibri" w:eastAsia="Times New Roman" w:hAnsi="Calibri" w:cs="Calibri"/>
                <w:color w:val="000000"/>
              </w:rPr>
            </w:pPr>
            <w:r w:rsidRPr="00D0763B">
              <w:rPr>
                <w:rFonts w:ascii="Calibri" w:eastAsia="Times New Roman" w:hAnsi="Calibri" w:cs="Calibri"/>
                <w:color w:val="000000"/>
              </w:rPr>
              <w:t>n=</w:t>
            </w:r>
          </w:p>
        </w:tc>
        <w:tc>
          <w:tcPr>
            <w:tcW w:w="960" w:type="dxa"/>
            <w:tcBorders>
              <w:top w:val="nil"/>
              <w:left w:val="nil"/>
              <w:bottom w:val="nil"/>
              <w:right w:val="nil"/>
            </w:tcBorders>
            <w:shd w:val="clear" w:color="auto" w:fill="auto"/>
            <w:noWrap/>
            <w:vAlign w:val="bottom"/>
            <w:hideMark/>
          </w:tcPr>
          <w:p w14:paraId="2F68E54B"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806</w:t>
            </w:r>
          </w:p>
        </w:tc>
        <w:tc>
          <w:tcPr>
            <w:tcW w:w="960" w:type="dxa"/>
            <w:tcBorders>
              <w:top w:val="nil"/>
              <w:left w:val="nil"/>
              <w:bottom w:val="nil"/>
              <w:right w:val="nil"/>
            </w:tcBorders>
            <w:shd w:val="clear" w:color="auto" w:fill="auto"/>
            <w:noWrap/>
            <w:vAlign w:val="bottom"/>
            <w:hideMark/>
          </w:tcPr>
          <w:p w14:paraId="66313640" w14:textId="77777777" w:rsidR="004467BB" w:rsidRPr="00D0763B" w:rsidRDefault="004467BB" w:rsidP="00F076B4">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14:paraId="08FB2473"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25B1F22C"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36A443C6" w14:textId="77777777" w:rsidR="004467BB" w:rsidRPr="00D0763B" w:rsidRDefault="004467BB" w:rsidP="00F076B4">
            <w:pPr>
              <w:spacing w:after="0" w:line="240" w:lineRule="auto"/>
              <w:rPr>
                <w:rFonts w:ascii="Times New Roman" w:eastAsia="Times New Roman" w:hAnsi="Times New Roman" w:cs="Times New Roman"/>
                <w:sz w:val="20"/>
                <w:szCs w:val="20"/>
              </w:rPr>
            </w:pPr>
          </w:p>
        </w:tc>
      </w:tr>
      <w:tr w:rsidR="004467BB" w:rsidRPr="00D0763B" w14:paraId="5B26E63F" w14:textId="77777777" w:rsidTr="00F076B4">
        <w:trPr>
          <w:trHeight w:val="300"/>
        </w:trPr>
        <w:tc>
          <w:tcPr>
            <w:tcW w:w="960" w:type="dxa"/>
            <w:tcBorders>
              <w:top w:val="nil"/>
              <w:left w:val="nil"/>
              <w:bottom w:val="nil"/>
              <w:right w:val="nil"/>
            </w:tcBorders>
            <w:shd w:val="clear" w:color="auto" w:fill="auto"/>
            <w:noWrap/>
            <w:vAlign w:val="bottom"/>
            <w:hideMark/>
          </w:tcPr>
          <w:p w14:paraId="6FCDA5A3" w14:textId="77777777" w:rsidR="004467BB" w:rsidRPr="00D0763B" w:rsidRDefault="004467BB" w:rsidP="00F076B4">
            <w:pPr>
              <w:spacing w:after="0" w:line="240" w:lineRule="auto"/>
              <w:rPr>
                <w:rFonts w:ascii="Times New Roman" w:eastAsia="Times New Roman" w:hAnsi="Times New Roman" w:cs="Times New Roman"/>
                <w:sz w:val="20"/>
                <w:szCs w:val="20"/>
              </w:rPr>
            </w:pPr>
          </w:p>
        </w:tc>
        <w:tc>
          <w:tcPr>
            <w:tcW w:w="10580" w:type="dxa"/>
            <w:gridSpan w:val="11"/>
            <w:tcBorders>
              <w:top w:val="nil"/>
              <w:left w:val="nil"/>
              <w:bottom w:val="nil"/>
              <w:right w:val="nil"/>
            </w:tcBorders>
            <w:shd w:val="clear" w:color="auto" w:fill="auto"/>
            <w:noWrap/>
            <w:vAlign w:val="bottom"/>
            <w:hideMark/>
          </w:tcPr>
          <w:p w14:paraId="3F584DA2" w14:textId="77777777" w:rsidR="004467B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 indicates earlier adoption of OER textbook, for example Farr adopted OER text</w:t>
            </w:r>
          </w:p>
          <w:p w14:paraId="39A71D96" w14:textId="77777777" w:rsidR="004467BB" w:rsidRPr="00D0763B" w:rsidRDefault="004467BB" w:rsidP="00F076B4">
            <w:pPr>
              <w:spacing w:after="0" w:line="240" w:lineRule="auto"/>
              <w:rPr>
                <w:rFonts w:ascii="Calibri" w:eastAsia="Times New Roman" w:hAnsi="Calibri" w:cs="Calibri"/>
                <w:color w:val="000000"/>
              </w:rPr>
            </w:pPr>
            <w:r w:rsidRPr="00D0763B">
              <w:rPr>
                <w:rFonts w:ascii="Calibri" w:eastAsia="Times New Roman" w:hAnsi="Calibri" w:cs="Calibri"/>
                <w:color w:val="000000"/>
              </w:rPr>
              <w:t xml:space="preserve"> via prior ALG grant support</w:t>
            </w:r>
            <w:r>
              <w:rPr>
                <w:rFonts w:ascii="Calibri" w:eastAsia="Times New Roman" w:hAnsi="Calibri" w:cs="Calibri"/>
                <w:color w:val="000000"/>
              </w:rPr>
              <w:t xml:space="preserve"> (R2)</w:t>
            </w:r>
          </w:p>
        </w:tc>
      </w:tr>
    </w:tbl>
    <w:p w14:paraId="10005102" w14:textId="77777777" w:rsidR="004467BB" w:rsidRDefault="004467BB" w:rsidP="004467BB">
      <w:pPr>
        <w:spacing w:line="360" w:lineRule="auto"/>
        <w:ind w:firstLine="360"/>
        <w:rPr>
          <w:sz w:val="24"/>
          <w:szCs w:val="24"/>
          <w:highlight w:val="yellow"/>
        </w:rPr>
      </w:pPr>
    </w:p>
    <w:p w14:paraId="773062B6" w14:textId="77777777" w:rsidR="004467BB" w:rsidRPr="00367597" w:rsidRDefault="004467BB" w:rsidP="004467BB">
      <w:pPr>
        <w:spacing w:line="360" w:lineRule="auto"/>
        <w:ind w:firstLine="360"/>
        <w:rPr>
          <w:sz w:val="24"/>
          <w:szCs w:val="24"/>
        </w:rPr>
      </w:pPr>
      <w:r w:rsidRPr="00367597">
        <w:rPr>
          <w:sz w:val="24"/>
          <w:szCs w:val="24"/>
        </w:rPr>
        <w:t xml:space="preserve">Exploring student survey data has been problematic.  During the process of copying student surveys to various online courses to administer to students, setting were inadvertently modified by various instructors, making it impossible to retrieve reports at later date (ie, most surveys, especially in Summer &amp; Fall 2020 had inaccessible reports, with this being an issue in Spring 21 also).  Additionally, some faculty removed project lead, Farr, from course access making it impossible to retrieve data.  This said, survey data has been retrieved for 5 of the 17 sections, accounting for ~250 of the ~800 students having access to participate in the survey (~30%).  </w:t>
      </w:r>
      <w:r w:rsidRPr="00367597">
        <w:rPr>
          <w:sz w:val="24"/>
          <w:szCs w:val="24"/>
        </w:rPr>
        <w:lastRenderedPageBreak/>
        <w:t xml:space="preserve">Among these five courses, response rates tended to be low, ranging from 8.2% to 27.1%.  The most clear conclusion seen is that students resoundingly prefer a no-cost free online textbook over traditional paper textbooks, as well as low-cost online textbooks.  Among individual sections, 72.7-92.3% indicated this preference.  Overall quality of the course materials was regarded positively by most students with individual sections reporting them as “slightly good” up to “very good” quality, ranging from 82%-100% of the respondents. </w:t>
      </w:r>
    </w:p>
    <w:p w14:paraId="6CB02755" w14:textId="77777777" w:rsidR="0004349C" w:rsidRDefault="0004349C" w:rsidP="00F12B0A">
      <w:pPr>
        <w:ind w:left="720"/>
        <w:rPr>
          <w:i/>
          <w:sz w:val="24"/>
          <w:szCs w:val="24"/>
        </w:rPr>
      </w:pPr>
    </w:p>
    <w:p w14:paraId="7F6243AD" w14:textId="77777777" w:rsidR="00F12B0A" w:rsidRPr="004F2656" w:rsidRDefault="00F12B0A" w:rsidP="00F12B0A">
      <w:pPr>
        <w:pStyle w:val="Heading1"/>
        <w:numPr>
          <w:ilvl w:val="0"/>
          <w:numId w:val="7"/>
        </w:numPr>
        <w:ind w:left="360"/>
      </w:pPr>
      <w:r w:rsidRPr="004F2656">
        <w:t>Sustainability Plan</w:t>
      </w:r>
    </w:p>
    <w:p w14:paraId="77CB4911" w14:textId="47C20E5B" w:rsidR="00F12B0A" w:rsidRPr="00B36747" w:rsidRDefault="00771E08" w:rsidP="00B36747">
      <w:pPr>
        <w:spacing w:line="360" w:lineRule="auto"/>
        <w:ind w:firstLine="360"/>
        <w:rPr>
          <w:iCs/>
          <w:sz w:val="24"/>
          <w:szCs w:val="24"/>
        </w:rPr>
      </w:pPr>
      <w:r w:rsidRPr="00B36747">
        <w:rPr>
          <w:iCs/>
          <w:sz w:val="24"/>
          <w:szCs w:val="24"/>
        </w:rPr>
        <w:t xml:space="preserve">Kennesaw State University has been a leader in ALG and efforts towards course transformation and adoption of OER resources.  In the Sociology &amp; Criminal Justice program several courses have engaged in such transformations (Soci1101, Crju1101, Soci2251, and Soci3364), including two large-scale implementations (Soci1001, Crju1101).  Each of these transformations has been spear-headed by Farr.  </w:t>
      </w:r>
    </w:p>
    <w:p w14:paraId="258DB600" w14:textId="2E98679E" w:rsidR="00E144D6" w:rsidRPr="00B36747" w:rsidRDefault="00771E08" w:rsidP="00B36747">
      <w:pPr>
        <w:spacing w:line="360" w:lineRule="auto"/>
        <w:ind w:firstLine="720"/>
        <w:rPr>
          <w:iCs/>
          <w:sz w:val="24"/>
          <w:szCs w:val="24"/>
        </w:rPr>
      </w:pPr>
      <w:r w:rsidRPr="00B36747">
        <w:rPr>
          <w:iCs/>
          <w:sz w:val="24"/>
          <w:szCs w:val="24"/>
        </w:rPr>
        <w:t xml:space="preserve">In this </w:t>
      </w:r>
      <w:r w:rsidR="003404D6" w:rsidRPr="00B36747">
        <w:rPr>
          <w:iCs/>
          <w:sz w:val="24"/>
          <w:szCs w:val="24"/>
        </w:rPr>
        <w:t>large-scale adoption, several new faculty</w:t>
      </w:r>
      <w:r w:rsidR="0068137A" w:rsidRPr="00B36747">
        <w:rPr>
          <w:iCs/>
          <w:sz w:val="24"/>
          <w:szCs w:val="24"/>
        </w:rPr>
        <w:t xml:space="preserve"> were engaged with and transitioned to the use of low or no-cost instructional resources.  Important to this initiative is the inclusion of 3 lecturers/senior lecturers, who </w:t>
      </w:r>
      <w:r w:rsidR="00E144D6" w:rsidRPr="00B36747">
        <w:rPr>
          <w:iCs/>
          <w:sz w:val="24"/>
          <w:szCs w:val="24"/>
        </w:rPr>
        <w:t>teach a high percentage of Soci1101 sections.  This leads to higher levels of impact.</w:t>
      </w:r>
    </w:p>
    <w:p w14:paraId="27CBE05E" w14:textId="194C7880" w:rsidR="00E144D6" w:rsidRPr="00B36747" w:rsidRDefault="00E144D6" w:rsidP="00B36747">
      <w:pPr>
        <w:spacing w:line="360" w:lineRule="auto"/>
        <w:ind w:firstLine="360"/>
        <w:rPr>
          <w:iCs/>
          <w:sz w:val="24"/>
          <w:szCs w:val="24"/>
        </w:rPr>
      </w:pPr>
      <w:r w:rsidRPr="00B36747">
        <w:rPr>
          <w:iCs/>
          <w:sz w:val="24"/>
          <w:szCs w:val="24"/>
        </w:rPr>
        <w:t>Among the faculty involved</w:t>
      </w:r>
      <w:r w:rsidR="00185E24" w:rsidRPr="00B36747">
        <w:rPr>
          <w:iCs/>
          <w:sz w:val="24"/>
          <w:szCs w:val="24"/>
        </w:rPr>
        <w:t xml:space="preserve">, Farr, Johnson, Stephens, and White are all scheduled to teach Soci1101 in either Summer or Fall 2021.  Each faculty member has placed book orders for their courses, reflecting continued use of </w:t>
      </w:r>
      <w:r w:rsidR="00B36747" w:rsidRPr="00B36747">
        <w:rPr>
          <w:iCs/>
          <w:sz w:val="24"/>
          <w:szCs w:val="24"/>
        </w:rPr>
        <w:t>OER resources.</w:t>
      </w:r>
    </w:p>
    <w:p w14:paraId="37E45C00" w14:textId="77777777" w:rsidR="00E144D6" w:rsidRDefault="00E144D6" w:rsidP="00771E08">
      <w:pPr>
        <w:rPr>
          <w:iCs/>
          <w:sz w:val="24"/>
          <w:szCs w:val="24"/>
          <w:highlight w:val="yellow"/>
        </w:rPr>
      </w:pPr>
    </w:p>
    <w:p w14:paraId="4CBF0FE1" w14:textId="77777777" w:rsidR="00F12B0A" w:rsidRPr="004F2656" w:rsidRDefault="00F12B0A" w:rsidP="00F12B0A">
      <w:pPr>
        <w:pStyle w:val="Heading1"/>
        <w:numPr>
          <w:ilvl w:val="0"/>
          <w:numId w:val="7"/>
        </w:numPr>
        <w:ind w:left="360"/>
      </w:pPr>
      <w:r w:rsidRPr="004F2656">
        <w:t xml:space="preserve">Future </w:t>
      </w:r>
      <w:r>
        <w:t xml:space="preserve">Affordable Materials </w:t>
      </w:r>
      <w:r w:rsidRPr="004F2656">
        <w:t>Plans</w:t>
      </w:r>
    </w:p>
    <w:p w14:paraId="58D10A92" w14:textId="3733FB14" w:rsidR="00F12B0A" w:rsidRPr="00771E08" w:rsidRDefault="00771E08" w:rsidP="003550D6">
      <w:pPr>
        <w:spacing w:line="360" w:lineRule="auto"/>
        <w:rPr>
          <w:b/>
          <w:iCs/>
          <w:sz w:val="24"/>
          <w:szCs w:val="24"/>
        </w:rPr>
      </w:pPr>
      <w:r w:rsidRPr="003550D6">
        <w:rPr>
          <w:iCs/>
          <w:sz w:val="24"/>
          <w:szCs w:val="24"/>
        </w:rPr>
        <w:t>This project has served to increase the project team’s awareness of free and open learning materials. It encourages both instructors and students to keep current with the topics of the subject. It enables students not only to learn the subject material in the course, but also aware of life-long learning expectations, one of education’s goals.  The project team is looking to apply the same successful experience to other courses within the major, as appropriate.</w:t>
      </w:r>
      <w:r w:rsidRPr="00771E08">
        <w:rPr>
          <w:iCs/>
          <w:sz w:val="24"/>
          <w:szCs w:val="24"/>
        </w:rPr>
        <w:t xml:space="preserve">  </w:t>
      </w:r>
    </w:p>
    <w:p w14:paraId="668F6917" w14:textId="77777777" w:rsidR="00F12B0A" w:rsidRPr="00220876" w:rsidRDefault="00F12B0A" w:rsidP="00F12B0A">
      <w:pPr>
        <w:pStyle w:val="Heading1"/>
        <w:numPr>
          <w:ilvl w:val="0"/>
          <w:numId w:val="7"/>
        </w:numPr>
        <w:ind w:left="360"/>
      </w:pPr>
      <w:r w:rsidRPr="00220876">
        <w:lastRenderedPageBreak/>
        <w:t>Future Scholarship Plans</w:t>
      </w:r>
    </w:p>
    <w:p w14:paraId="26BF8055" w14:textId="7ECD8149" w:rsidR="00F12B0A" w:rsidRPr="00771E08" w:rsidRDefault="00771E08" w:rsidP="00771E08">
      <w:pPr>
        <w:rPr>
          <w:b/>
          <w:iCs/>
          <w:sz w:val="24"/>
          <w:szCs w:val="24"/>
        </w:rPr>
      </w:pPr>
      <w:r w:rsidRPr="003550D6">
        <w:rPr>
          <w:iCs/>
          <w:sz w:val="24"/>
          <w:szCs w:val="24"/>
        </w:rPr>
        <w:t>As</w:t>
      </w:r>
      <w:r w:rsidR="003550D6">
        <w:rPr>
          <w:iCs/>
          <w:sz w:val="24"/>
          <w:szCs w:val="24"/>
        </w:rPr>
        <w:t xml:space="preserve"> the</w:t>
      </w:r>
      <w:r w:rsidRPr="003550D6">
        <w:rPr>
          <w:iCs/>
          <w:sz w:val="24"/>
          <w:szCs w:val="24"/>
        </w:rPr>
        <w:t xml:space="preserve"> </w:t>
      </w:r>
      <w:r w:rsidR="00862FBE" w:rsidRPr="003550D6">
        <w:rPr>
          <w:iCs/>
          <w:sz w:val="24"/>
          <w:szCs w:val="24"/>
        </w:rPr>
        <w:t>lead</w:t>
      </w:r>
      <w:r w:rsidRPr="003550D6">
        <w:rPr>
          <w:iCs/>
          <w:sz w:val="24"/>
          <w:szCs w:val="24"/>
        </w:rPr>
        <w:t xml:space="preserve"> faculty involved </w:t>
      </w:r>
      <w:r w:rsidR="003550D6">
        <w:rPr>
          <w:iCs/>
          <w:sz w:val="24"/>
          <w:szCs w:val="24"/>
        </w:rPr>
        <w:t xml:space="preserve">in this transformation </w:t>
      </w:r>
      <w:r w:rsidRPr="003550D6">
        <w:rPr>
          <w:iCs/>
          <w:sz w:val="24"/>
          <w:szCs w:val="24"/>
        </w:rPr>
        <w:t xml:space="preserve">are Senior Lecturers, scholarship is not a part of </w:t>
      </w:r>
      <w:r w:rsidR="00862FBE" w:rsidRPr="003550D6">
        <w:rPr>
          <w:iCs/>
          <w:sz w:val="24"/>
          <w:szCs w:val="24"/>
        </w:rPr>
        <w:t>his</w:t>
      </w:r>
      <w:r w:rsidRPr="003550D6">
        <w:rPr>
          <w:iCs/>
          <w:sz w:val="24"/>
          <w:szCs w:val="24"/>
        </w:rPr>
        <w:t xml:space="preserve"> work expectations.  No </w:t>
      </w:r>
      <w:r w:rsidR="00862FBE" w:rsidRPr="003550D6">
        <w:rPr>
          <w:iCs/>
          <w:sz w:val="24"/>
          <w:szCs w:val="24"/>
        </w:rPr>
        <w:t>team member has expressed interest in pursuing scholarship based on this experience.</w:t>
      </w:r>
    </w:p>
    <w:p w14:paraId="1BAB02B7" w14:textId="77777777" w:rsidR="00F12B0A" w:rsidRPr="004F2656" w:rsidRDefault="00F12B0A" w:rsidP="00F12B0A">
      <w:pPr>
        <w:pStyle w:val="Heading1"/>
        <w:numPr>
          <w:ilvl w:val="0"/>
          <w:numId w:val="7"/>
        </w:numPr>
        <w:ind w:left="360"/>
      </w:pPr>
      <w:r w:rsidRPr="004F2656">
        <w:t>Description of Photograph</w:t>
      </w:r>
      <w:r>
        <w:t xml:space="preserve"> (optional) </w:t>
      </w:r>
    </w:p>
    <w:p w14:paraId="50063BF7" w14:textId="7CDA7BB4" w:rsidR="00F12B0A" w:rsidRPr="00771E08" w:rsidRDefault="00771E08">
      <w:pPr>
        <w:rPr>
          <w:iCs/>
        </w:rPr>
      </w:pPr>
      <w:r w:rsidRPr="00771E08">
        <w:rPr>
          <w:iCs/>
          <w:sz w:val="24"/>
          <w:szCs w:val="24"/>
        </w:rPr>
        <w:t xml:space="preserve">Unavailable currently – </w:t>
      </w:r>
      <w:r w:rsidR="00862FBE">
        <w:rPr>
          <w:iCs/>
          <w:sz w:val="24"/>
          <w:szCs w:val="24"/>
        </w:rPr>
        <w:t>most</w:t>
      </w:r>
      <w:r w:rsidRPr="00771E08">
        <w:rPr>
          <w:iCs/>
          <w:sz w:val="24"/>
          <w:szCs w:val="24"/>
        </w:rPr>
        <w:t xml:space="preserve"> team members currently working fully online due to Covid.</w:t>
      </w:r>
    </w:p>
    <w:sectPr w:rsidR="00F12B0A" w:rsidRPr="00771E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B0A"/>
    <w:rsid w:val="0004349C"/>
    <w:rsid w:val="000727C2"/>
    <w:rsid w:val="0008740B"/>
    <w:rsid w:val="000A2F44"/>
    <w:rsid w:val="00113601"/>
    <w:rsid w:val="00116CB9"/>
    <w:rsid w:val="00164DA8"/>
    <w:rsid w:val="00170B62"/>
    <w:rsid w:val="001712A5"/>
    <w:rsid w:val="00185E24"/>
    <w:rsid w:val="001F13AD"/>
    <w:rsid w:val="001F2743"/>
    <w:rsid w:val="002227C9"/>
    <w:rsid w:val="00255486"/>
    <w:rsid w:val="002B7100"/>
    <w:rsid w:val="00312C2F"/>
    <w:rsid w:val="00331588"/>
    <w:rsid w:val="00340430"/>
    <w:rsid w:val="003404D6"/>
    <w:rsid w:val="00350AB2"/>
    <w:rsid w:val="003550D6"/>
    <w:rsid w:val="00367597"/>
    <w:rsid w:val="003A2478"/>
    <w:rsid w:val="003F6D3C"/>
    <w:rsid w:val="00441158"/>
    <w:rsid w:val="004467BB"/>
    <w:rsid w:val="0049119B"/>
    <w:rsid w:val="004E491E"/>
    <w:rsid w:val="004F0DAE"/>
    <w:rsid w:val="004F7870"/>
    <w:rsid w:val="00515343"/>
    <w:rsid w:val="0052083F"/>
    <w:rsid w:val="00541314"/>
    <w:rsid w:val="005629C0"/>
    <w:rsid w:val="00583628"/>
    <w:rsid w:val="00584509"/>
    <w:rsid w:val="00584812"/>
    <w:rsid w:val="005D176C"/>
    <w:rsid w:val="0065466C"/>
    <w:rsid w:val="00673D81"/>
    <w:rsid w:val="00680B99"/>
    <w:rsid w:val="0068137A"/>
    <w:rsid w:val="006F2518"/>
    <w:rsid w:val="00713CFC"/>
    <w:rsid w:val="0072301F"/>
    <w:rsid w:val="00742C1A"/>
    <w:rsid w:val="00746C6F"/>
    <w:rsid w:val="00771E08"/>
    <w:rsid w:val="007B499A"/>
    <w:rsid w:val="007D4791"/>
    <w:rsid w:val="00862FBE"/>
    <w:rsid w:val="00866B01"/>
    <w:rsid w:val="00866F6E"/>
    <w:rsid w:val="00871805"/>
    <w:rsid w:val="00885B4E"/>
    <w:rsid w:val="00895DC9"/>
    <w:rsid w:val="008E72BE"/>
    <w:rsid w:val="008F7D94"/>
    <w:rsid w:val="0091591A"/>
    <w:rsid w:val="009B2C47"/>
    <w:rsid w:val="009F3FC6"/>
    <w:rsid w:val="00A8014B"/>
    <w:rsid w:val="00AA2492"/>
    <w:rsid w:val="00B05747"/>
    <w:rsid w:val="00B058AB"/>
    <w:rsid w:val="00B20660"/>
    <w:rsid w:val="00B3210B"/>
    <w:rsid w:val="00B36553"/>
    <w:rsid w:val="00B36747"/>
    <w:rsid w:val="00B411AF"/>
    <w:rsid w:val="00B511BB"/>
    <w:rsid w:val="00B60A4F"/>
    <w:rsid w:val="00B817C5"/>
    <w:rsid w:val="00B97C42"/>
    <w:rsid w:val="00BC5184"/>
    <w:rsid w:val="00BE11A2"/>
    <w:rsid w:val="00BE61DF"/>
    <w:rsid w:val="00BE73F9"/>
    <w:rsid w:val="00BF247A"/>
    <w:rsid w:val="00C23E16"/>
    <w:rsid w:val="00C45F2C"/>
    <w:rsid w:val="00C8329A"/>
    <w:rsid w:val="00CB5A3E"/>
    <w:rsid w:val="00CD5DD5"/>
    <w:rsid w:val="00D03E81"/>
    <w:rsid w:val="00D0763B"/>
    <w:rsid w:val="00D23683"/>
    <w:rsid w:val="00D50E60"/>
    <w:rsid w:val="00DB4879"/>
    <w:rsid w:val="00E143BB"/>
    <w:rsid w:val="00E144D6"/>
    <w:rsid w:val="00E346F0"/>
    <w:rsid w:val="00E933F7"/>
    <w:rsid w:val="00EC4F45"/>
    <w:rsid w:val="00EE3E56"/>
    <w:rsid w:val="00F12B0A"/>
    <w:rsid w:val="00F250FD"/>
    <w:rsid w:val="00F863E3"/>
    <w:rsid w:val="00FC514B"/>
    <w:rsid w:val="00FF5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670F7"/>
  <w15:chartTrackingRefBased/>
  <w15:docId w15:val="{1680C467-F44C-4017-9F7D-4A152BD10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B0A"/>
  </w:style>
  <w:style w:type="paragraph" w:styleId="Heading1">
    <w:name w:val="heading 1"/>
    <w:basedOn w:val="Normal"/>
    <w:next w:val="Normal"/>
    <w:link w:val="Heading1Char"/>
    <w:uiPriority w:val="9"/>
    <w:qFormat/>
    <w:rsid w:val="00F12B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12B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2B0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12B0A"/>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rsid w:val="00F12B0A"/>
    <w:rPr>
      <w:color w:val="0000FF"/>
      <w:u w:val="single"/>
    </w:rPr>
  </w:style>
  <w:style w:type="paragraph" w:styleId="ListParagraph">
    <w:name w:val="List Paragraph"/>
    <w:basedOn w:val="Normal"/>
    <w:uiPriority w:val="34"/>
    <w:qFormat/>
    <w:rsid w:val="00F12B0A"/>
    <w:pPr>
      <w:ind w:left="720"/>
      <w:contextualSpacing/>
    </w:pPr>
  </w:style>
  <w:style w:type="paragraph" w:styleId="Title">
    <w:name w:val="Title"/>
    <w:basedOn w:val="Normal"/>
    <w:next w:val="Normal"/>
    <w:link w:val="TitleChar"/>
    <w:uiPriority w:val="10"/>
    <w:qFormat/>
    <w:rsid w:val="00F12B0A"/>
    <w:pPr>
      <w:jc w:val="center"/>
    </w:pPr>
    <w:rPr>
      <w:b/>
      <w:sz w:val="28"/>
      <w:szCs w:val="28"/>
    </w:rPr>
  </w:style>
  <w:style w:type="character" w:customStyle="1" w:styleId="TitleChar">
    <w:name w:val="Title Char"/>
    <w:basedOn w:val="DefaultParagraphFont"/>
    <w:link w:val="Title"/>
    <w:uiPriority w:val="10"/>
    <w:rsid w:val="00F12B0A"/>
    <w:rPr>
      <w:b/>
      <w:sz w:val="28"/>
      <w:szCs w:val="28"/>
    </w:rPr>
  </w:style>
  <w:style w:type="character" w:styleId="UnresolvedMention">
    <w:name w:val="Unresolved Mention"/>
    <w:basedOn w:val="DefaultParagraphFont"/>
    <w:uiPriority w:val="99"/>
    <w:semiHidden/>
    <w:unhideWhenUsed/>
    <w:rsid w:val="00F12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50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ciologyexperiment.com/" TargetMode="External"/><Relationship Id="rId11" Type="http://schemas.openxmlformats.org/officeDocument/2006/relationships/customXml" Target="../customXml/item3.xml"/><Relationship Id="rId5" Type="http://schemas.openxmlformats.org/officeDocument/2006/relationships/hyperlink" Target="https://openstax.org/details/books/introduction-sociology-2e"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E0D33DA-75D4-431A-92C1-CE5D222095A4}"/>
</file>

<file path=customXml/itemProps2.xml><?xml version="1.0" encoding="utf-8"?>
<ds:datastoreItem xmlns:ds="http://schemas.openxmlformats.org/officeDocument/2006/customXml" ds:itemID="{23083DC6-1B3D-424D-B3EA-C83DACF183D9}"/>
</file>

<file path=customXml/itemProps3.xml><?xml version="1.0" encoding="utf-8"?>
<ds:datastoreItem xmlns:ds="http://schemas.openxmlformats.org/officeDocument/2006/customXml" ds:itemID="{115C8B04-7353-4B16-BD3B-E3909C7971ED}"/>
</file>

<file path=docProps/app.xml><?xml version="1.0" encoding="utf-8"?>
<Properties xmlns="http://schemas.openxmlformats.org/officeDocument/2006/extended-properties" xmlns:vt="http://schemas.openxmlformats.org/officeDocument/2006/docPropsVTypes">
  <Template>Normal</Template>
  <TotalTime>148</TotalTime>
  <Pages>7</Pages>
  <Words>1785</Words>
  <Characters>10178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Farr</dc:creator>
  <cp:keywords/>
  <dc:description/>
  <cp:lastModifiedBy>Daniel Farr</cp:lastModifiedBy>
  <cp:revision>95</cp:revision>
  <dcterms:created xsi:type="dcterms:W3CDTF">2021-05-26T20:43:00Z</dcterms:created>
  <dcterms:modified xsi:type="dcterms:W3CDTF">2021-05-27T17:07:00Z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