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firstLine="0"/>
        <w:jc w:val="center"/>
        <w:rPr>
          <w:rFonts w:ascii="Helvetica Neue" w:cs="Helvetica Neue" w:eastAsia="Helvetica Neue" w:hAnsi="Helvetica Neue"/>
          <w:b w:val="1"/>
          <w:bCs w:val="1"/>
          <w:sz w:val="22"/>
          <w:szCs w:val="22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2"/>
          <w:szCs w:val="22"/>
          <w:rtl w:val="0"/>
        </w:rPr>
        <w:t xml:space="preserve">GOVERNO DO ESTADO DO RIO GRANDE DO NORTE</w:t>
      </w:r>
    </w:p>
    <w:p w:rsidR="00000000" w:rsidDel="00000000" w:rsidP="00000000" w:rsidRDefault="00000000" w:rsidRPr="00000000" w14:paraId="0000000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firstLine="0"/>
        <w:jc w:val="center"/>
        <w:rPr>
          <w:rFonts w:ascii="Helvetica Neue" w:cs="Helvetica Neue" w:eastAsia="Helvetica Neue" w:hAnsi="Helvetica Neue"/>
          <w:b w:val="1"/>
          <w:bCs w:val="1"/>
          <w:sz w:val="22"/>
          <w:szCs w:val="22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2"/>
          <w:szCs w:val="22"/>
          <w:rtl w:val="0"/>
        </w:rPr>
        <w:t xml:space="preserve">SECRETARIA DE ESTADO DA CULTURA </w:t>
      </w:r>
    </w:p>
    <w:p w:rsidR="00000000" w:rsidDel="00000000" w:rsidP="00000000" w:rsidRDefault="00000000" w:rsidRPr="00000000" w14:paraId="0000000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firstLine="0"/>
        <w:jc w:val="center"/>
        <w:rPr>
          <w:rFonts w:ascii="Helvetica Neue" w:cs="Helvetica Neue" w:eastAsia="Helvetica Neue" w:hAnsi="Helvetica Neue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firstLine="0"/>
        <w:jc w:val="cente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2"/>
          <w:szCs w:val="22"/>
          <w:rtl w:val="0"/>
        </w:rPr>
        <w:t xml:space="preserve">CHAMAMENTO PÚBLICO DE FLUXO ORDINÁRIO 02/2026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firstLine="0"/>
        <w:jc w:val="cente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firstLine="0"/>
        <w:jc w:val="center"/>
        <w:rPr>
          <w:rFonts w:ascii="Helvetica Neue" w:cs="Helvetica Neue" w:eastAsia="Helvetica Neue" w:hAnsi="Helvetica Neue"/>
          <w:b w:val="1"/>
          <w:bCs w:val="1"/>
          <w:sz w:val="22"/>
          <w:szCs w:val="22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2"/>
          <w:szCs w:val="22"/>
          <w:rtl w:val="0"/>
        </w:rPr>
        <w:t xml:space="preserve">REDE ESTADUAL DE PONTOS E PONTÕES DE CULTURA</w:t>
      </w:r>
    </w:p>
    <w:p w:rsidR="00000000" w:rsidDel="00000000" w:rsidP="00000000" w:rsidRDefault="00000000" w:rsidRPr="00000000" w14:paraId="0000000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firstLine="0"/>
        <w:jc w:val="center"/>
        <w:rPr>
          <w:rFonts w:ascii="Helvetica Neue" w:cs="Helvetica Neue" w:eastAsia="Helvetica Neue" w:hAnsi="Helvetica Neue"/>
          <w:b w:val="1"/>
          <w:bCs w:val="1"/>
          <w:color w:val="ff0000"/>
          <w:sz w:val="22"/>
          <w:szCs w:val="22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2"/>
          <w:szCs w:val="22"/>
          <w:rtl w:val="0"/>
        </w:rPr>
        <w:t xml:space="preserve">DO ESTADO DO RIO GRANDE DO NORTE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firstLine="0"/>
        <w:jc w:val="cente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2"/>
          <w:szCs w:val="22"/>
          <w:rtl w:val="0"/>
        </w:rPr>
        <w:t xml:space="preserve"> FOMENTO A PROJETOS CONTINUADOS DE PONTOS DE CULTURA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ind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center" w:leader="none" w:pos="0"/>
        </w:tabs>
        <w:spacing w:after="120" w:before="120" w:lineRule="auto"/>
        <w:ind w:firstLine="0"/>
        <w:jc w:val="center"/>
        <w:rPr>
          <w:rFonts w:ascii="Calibri" w:cs="Calibri" w:eastAsia="Calibri" w:hAnsi="Calibri"/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ANEXO 12 - DECLARAÇÃO CONJUNTA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line="240" w:lineRule="auto"/>
        <w:ind w:left="0" w:hanging="2"/>
        <w:jc w:val="center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ff0000"/>
          <w:sz w:val="24"/>
          <w:szCs w:val="24"/>
          <w:rtl w:val="0"/>
        </w:rPr>
        <w:t xml:space="preserve">(Rubricar todas as páginas)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Eu, ___________________________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(nome da pessoa responsável pela candidatura)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residente e domiciliado(a) em ___________________________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(endereço residencial do dirigente)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portador(a) da Carteira de Identidade n° ___________, CPF n° ___________, responsável pela inscrição da entidade cultural ___________________________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(nome da entidade cultural)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CNPJ nº ___________________________, no referido Edital de Seleção para ampliação e fortalecimento da Política Nacional de Cultura Viva,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DECLARO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Estar ciente de que as informações e documentos apresentados neste processo seletivo são de minha inteira responsabilidade, sendo a expressão da verdade;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Autorizar a Secult/RN e o Ministério da Cultura a publicar e divulgar, mediante reprodução, distribuição, comunicação ao público e quaisquer outras modalidades de utilização, sem quaisquer ônus, por tempo indeterminado, os conteúdos da inscrição, do Termo de Compromisso Cultural e do projeto cultural;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Estar ciente e de acordo que a publicação e divulgação das matérias poderão ser realizadas inclusive em universidades, escolas, seminários, congressos, outros eventos e na mídia em geral, no Brasil e no exterior, observadas as legislações vigentes de cada país;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Não me enquadrar em quaisquer das vedações dispostas no Edital de Seleção, principalmente quanto ao disposto em seu item 4 (“quem não pode participar do edital”);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Concordar em receber visita técnica e/ou participar de reunião, com a missão de acompanhar e monitorar a execução e os resultados Termo de Compromisso Cultural, caso a Secult/RN e o Ministério da Cultura considerem apropriado;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Não existir plágio no projeto selecionado, assumindo integralmente a autoria e respondendo exclusivamente por eventuais acusações ou pleitos nesse sentido;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Possuir Capacidade Gerencial, Técnica e Operacional para o desenvolvimento e execução das atividades previstas no Plano de Trabalho, parte integrante do Termo de Compromisso Cultural, não ser mero intermediário na execução do projeto em epígrafe, e estar apto à execução do objeto na forma proposta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Não ter projetos vigentes ou em análise com o mesmo objeto e/ou despesas semelhantes às pleiteadas nesta proposta em qualquer esfera do governo;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Respeitar a legislação pertinente referente à Leis Ambientais Brasileiras, mais especificamente à relacionada aos possíveis impactos ambientais (Art. 1º, da Resolução Conama nº 001, de 23 de janeiro de 1986) para a execução do objeto da proposta e, ainda, realizar a coleta seletiva de todos os resíduos produzidos (Resolução Conama nº 275, de 25 de abril de 2001) e a limpeza d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 espaço físico durante e após o período de realização das ações previstas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Realizar todas as intervenções e serviços que se fizerem necessários para promover a acessibilidade cultural e a inclusão de pessoas com mobilidade reduzida e pessoas com deficiência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durante as ações propostas, garantindo ainda exibições audiovisuais, se houver, que disponham de recursos de legendagem descritiva, audiodescrição e LIBRAS – Língua Brasileira de Sinais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Disponibilizar livre acesso à população beneficiada para todas as ações propostas n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 projeto;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Estar ciente que: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240" w:line="240" w:lineRule="auto"/>
        <w:ind w:left="0" w:hanging="2"/>
        <w:jc w:val="both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Os bens patrimoniais adquiridos deverão ser gravados com cláusula de inalienabilidade enquanto viger a parceria, sendo que, na hipótese de extinção da entidade cultural durante a vigência do presente instrumento, a propriedade de tais ben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s será transferida à Administração Pública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240" w:line="240" w:lineRule="auto"/>
        <w:ind w:left="0" w:hanging="2"/>
        <w:jc w:val="both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Quando da extinção da parceria, os bens remanescentes permanecerão na propriedade da entidade cultural, na medida em que os bens serão úteis à continuidade da execução de ações de interesse social pela organização; e</w:t>
      </w:r>
    </w:p>
    <w:p w:rsidR="00000000" w:rsidDel="00000000" w:rsidP="00000000" w:rsidRDefault="00000000" w:rsidRPr="00000000" w14:paraId="0000001D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240" w:line="240" w:lineRule="auto"/>
        <w:ind w:left="0" w:hanging="2"/>
        <w:jc w:val="both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Na hipótese de extinção da entidade cultural após a vigência do instrumento celebrado, será aplicada Cláusula do Estatuto Social.</w:t>
      </w:r>
    </w:p>
    <w:p w:rsidR="00000000" w:rsidDel="00000000" w:rsidP="00000000" w:rsidRDefault="00000000" w:rsidRPr="00000000" w14:paraId="0000001E">
      <w:pPr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67"/>
          <w:tab w:val="left" w:leader="none" w:pos="1134"/>
        </w:tabs>
        <w:spacing w:after="120" w:before="240" w:line="24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Estar ciente das regras de democratização dos recursos: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567"/>
          <w:tab w:val="left" w:leader="none" w:pos="1134"/>
        </w:tabs>
        <w:spacing w:after="0" w:line="240" w:lineRule="auto"/>
        <w:ind w:left="720" w:firstLine="0"/>
        <w:jc w:val="both"/>
        <w:rPr>
          <w:rFonts w:ascii="Calibri" w:cs="Calibri" w:eastAsia="Calibri" w:hAnsi="Calibri"/>
          <w:i w:val="1"/>
          <w:iCs w:val="1"/>
          <w:color w:val="555555"/>
        </w:rPr>
      </w:pPr>
      <w:hyperlink r:id="rId7">
        <w:r w:rsidDel="00000000" w:rsidR="00000000" w:rsidRPr="00000000">
          <w:rPr>
            <w:rFonts w:ascii="Calibri" w:cs="Calibri" w:eastAsia="Calibri" w:hAnsi="Calibri"/>
            <w:i w:val="1"/>
            <w:iCs w:val="1"/>
            <w:color w:val="1155cc"/>
            <w:u w:val="single"/>
            <w:rtl w:val="0"/>
          </w:rPr>
          <w:t xml:space="preserve">Instrução Normativa MinC nº  1/2015, art. 21, </w:t>
        </w:r>
      </w:hyperlink>
      <w:hyperlink r:id="rId8">
        <w:r w:rsidDel="00000000" w:rsidR="00000000" w:rsidRPr="00000000">
          <w:rPr>
            <w:rFonts w:ascii="Calibri" w:cs="Calibri" w:eastAsia="Calibri" w:hAnsi="Calibri"/>
            <w:i w:val="1"/>
            <w:iCs w:val="1"/>
            <w:color w:val="1155cc"/>
            <w:highlight w:val="white"/>
            <w:u w:val="single"/>
            <w:rtl w:val="0"/>
          </w:rPr>
          <w:t xml:space="preserve">§ 3º: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567"/>
          <w:tab w:val="left" w:leader="none" w:pos="1134"/>
        </w:tabs>
        <w:spacing w:after="0" w:line="240" w:lineRule="auto"/>
        <w:ind w:left="720" w:firstLine="0"/>
        <w:jc w:val="both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I - uma mesma entidade cultural não poderá ter dois ou mais TCC vigentes simultaneamente para execução de projetos da PNCV, mesmo que selecionada em editais diferentes ou de Entes Federados distintos,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salvo quando:</w:t>
      </w:r>
    </w:p>
    <w:p w:rsidR="00000000" w:rsidDel="00000000" w:rsidP="00000000" w:rsidRDefault="00000000" w:rsidRPr="00000000" w14:paraId="00000021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567"/>
          <w:tab w:val="left" w:leader="none" w:pos="1134"/>
        </w:tabs>
        <w:spacing w:after="0" w:line="240" w:lineRule="auto"/>
        <w:ind w:left="720" w:firstLine="0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a) no ato de formalização do segundo TCC,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a entidade não tenha parcelas para receber e já tenha executado mais da metade do cronograma relacionado à última parcela do TCC ativo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; ou</w:t>
      </w:r>
    </w:p>
    <w:p w:rsidR="00000000" w:rsidDel="00000000" w:rsidP="00000000" w:rsidRDefault="00000000" w:rsidRPr="00000000" w14:paraId="00000022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567"/>
          <w:tab w:val="left" w:leader="none" w:pos="1134"/>
        </w:tabs>
        <w:spacing w:after="0" w:line="240" w:lineRule="auto"/>
        <w:ind w:left="720" w:firstLine="0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b) quando uma mesma entidade celebre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um TCC para fomento a um projeto de Ponto de Cultura e um TCC para fomento a um projeto de Pontão de Cultura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;</w:t>
      </w:r>
    </w:p>
    <w:p w:rsidR="00000000" w:rsidDel="00000000" w:rsidP="00000000" w:rsidRDefault="00000000" w:rsidRPr="00000000" w14:paraId="00000023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567"/>
          <w:tab w:val="left" w:leader="none" w:pos="1134"/>
        </w:tabs>
        <w:spacing w:after="0" w:line="240" w:lineRule="auto"/>
        <w:ind w:left="720" w:firstLine="0"/>
        <w:jc w:val="both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II - uma mesma entidade não poderá celebrar TCC e receber prêmios no âmbito da PNCV em um período de 12 meses, mesmo que selecionada em editais diferentes ou de Entes Federados distintos,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 salvo quando:</w:t>
      </w:r>
    </w:p>
    <w:p w:rsidR="00000000" w:rsidDel="00000000" w:rsidP="00000000" w:rsidRDefault="00000000" w:rsidRPr="00000000" w14:paraId="00000024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567"/>
          <w:tab w:val="left" w:leader="none" w:pos="1134"/>
        </w:tabs>
        <w:spacing w:after="0" w:line="240" w:lineRule="auto"/>
        <w:ind w:left="720" w:firstLine="0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a) já tenha sido premiada em edital da PNCV nos últimos 12 meses e,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 posteriormente, seja selecionada em edital de fomento a projeto continuado de Ponto ou Pontão de Cultura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, para celebração de TCC;</w:t>
      </w:r>
    </w:p>
    <w:p w:rsidR="00000000" w:rsidDel="00000000" w:rsidP="00000000" w:rsidRDefault="00000000" w:rsidRPr="00000000" w14:paraId="00000025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567"/>
          <w:tab w:val="left" w:leader="none" w:pos="1134"/>
        </w:tabs>
        <w:spacing w:after="0" w:line="240" w:lineRule="auto"/>
        <w:ind w:left="720" w:firstLine="0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b)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no ato de premiação, a entidade não tenha parcelas para receber e já tenha executado mais da metade do cronograma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 relacionado à última parcela do TCC ativo; ou</w:t>
      </w:r>
    </w:p>
    <w:p w:rsidR="00000000" w:rsidDel="00000000" w:rsidP="00000000" w:rsidRDefault="00000000" w:rsidRPr="00000000" w14:paraId="00000026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567"/>
          <w:tab w:val="left" w:leader="none" w:pos="1134"/>
        </w:tabs>
        <w:spacing w:after="0" w:line="240" w:lineRule="auto"/>
        <w:ind w:left="720" w:firstLine="0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c) em um mesmo edital de premiação da PNCV, após selecionadas todas as entidades concorrentes que não tenham firmado TCC nos últimos 12 meses,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ainda existam vagas disponíveis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.</w:t>
      </w:r>
    </w:p>
    <w:p w:rsidR="00000000" w:rsidDel="00000000" w:rsidP="00000000" w:rsidRDefault="00000000" w:rsidRPr="00000000" w14:paraId="00000027">
      <w:pPr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67"/>
          <w:tab w:val="left" w:leader="none" w:pos="1134"/>
        </w:tabs>
        <w:spacing w:after="120" w:before="240" w:line="24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Estar ciente de que qualquer inexatidão dos itens informados acima implicará na rescisão do instrumento que vier a ser celebrado e me sujeitará às penalidades previstas no art. 299 do Código Penal Brasileiro, sem prejuízo de outras medidas administrativas cabíveis.</w:t>
        <w:br w:type="textWrapping"/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spacing w:after="120" w:before="240" w:line="240" w:lineRule="auto"/>
        <w:ind w:left="0" w:hanging="2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_____________________,________/_______/ _______.</w:t>
      </w:r>
    </w:p>
    <w:p w:rsidR="00000000" w:rsidDel="00000000" w:rsidP="00000000" w:rsidRDefault="00000000" w:rsidRPr="00000000" w14:paraId="00000029">
      <w:pPr>
        <w:widowControl w:val="0"/>
        <w:spacing w:after="120" w:before="240" w:lineRule="auto"/>
        <w:ind w:hanging="2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(Local e data)</w:t>
      </w:r>
    </w:p>
    <w:p w:rsidR="00000000" w:rsidDel="00000000" w:rsidP="00000000" w:rsidRDefault="00000000" w:rsidRPr="00000000" w14:paraId="0000002A">
      <w:pPr>
        <w:spacing w:after="120" w:before="240" w:line="240" w:lineRule="auto"/>
        <w:ind w:left="0" w:hanging="2"/>
        <w:jc w:val="center"/>
        <w:rPr>
          <w:rFonts w:ascii="Calibri" w:cs="Calibri" w:eastAsia="Calibri" w:hAnsi="Calibri"/>
          <w:color w:val="333333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333333"/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2B">
      <w:pPr>
        <w:spacing w:line="240" w:lineRule="auto"/>
        <w:ind w:left="0" w:hanging="2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Assinatura</w:t>
      </w:r>
    </w:p>
    <w:p w:rsidR="00000000" w:rsidDel="00000000" w:rsidP="00000000" w:rsidRDefault="00000000" w:rsidRPr="00000000" w14:paraId="0000002C">
      <w:pPr>
        <w:spacing w:line="240" w:lineRule="auto"/>
        <w:ind w:left="0" w:hanging="2"/>
        <w:jc w:val="center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(Responsável Legal da Entidade Cultural)</w:t>
      </w:r>
    </w:p>
    <w:p w:rsidR="00000000" w:rsidDel="00000000" w:rsidP="00000000" w:rsidRDefault="00000000" w:rsidRPr="00000000" w14:paraId="0000002D">
      <w:pPr>
        <w:spacing w:line="240" w:lineRule="auto"/>
        <w:ind w:left="0" w:hanging="2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NOME COMPLETO</w:t>
      </w:r>
    </w:p>
    <w:sectPr>
      <w:headerReference r:id="rId9" w:type="default"/>
      <w:headerReference r:id="rId10" w:type="first"/>
      <w:headerReference r:id="rId11" w:type="even"/>
      <w:footerReference r:id="rId12" w:type="default"/>
      <w:footerReference r:id="rId13" w:type="first"/>
      <w:footerReference r:id="rId14" w:type="even"/>
      <w:pgSz w:h="16838" w:w="11906" w:orient="portrait"/>
      <w:pgMar w:bottom="851" w:top="851" w:left="850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ind w:left="0" w:hanging="2"/>
      <w:jc w:val="right"/>
      <w:rPr>
        <w:rFonts w:ascii="Calibri" w:cs="Calibri" w:eastAsia="Calibri" w:hAnsi="Calibri"/>
        <w:b w:val="1"/>
        <w:bCs w:val="1"/>
        <w:color w:val="000000"/>
        <w:sz w:val="16"/>
        <w:szCs w:val="16"/>
      </w:rPr>
    </w:pPr>
    <w:r w:rsidDel="00000000" w:rsidR="00000000" w:rsidRPr="00000000">
      <w:rPr>
        <w:rFonts w:ascii="Calibri" w:cs="Calibri" w:eastAsia="Calibri" w:hAnsi="Calibri"/>
        <w:color w:val="000000"/>
        <w:sz w:val="16"/>
        <w:szCs w:val="16"/>
        <w:rtl w:val="0"/>
      </w:rPr>
      <w:t xml:space="preserve">Página </w:t>
    </w:r>
    <w:r w:rsidDel="00000000" w:rsidR="00000000" w:rsidRPr="00000000">
      <w:rPr>
        <w:rFonts w:ascii="Calibri" w:cs="Calibri" w:eastAsia="Calibri" w:hAnsi="Calibri"/>
        <w:b w:val="1"/>
        <w:bCs w:val="1"/>
        <w:color w:val="00000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color w:val="000000"/>
        <w:sz w:val="16"/>
        <w:szCs w:val="16"/>
        <w:rtl w:val="0"/>
      </w:rPr>
      <w:t xml:space="preserve"> de </w:t>
    </w:r>
    <w:r w:rsidDel="00000000" w:rsidR="00000000" w:rsidRPr="00000000">
      <w:rPr>
        <w:rFonts w:ascii="Calibri" w:cs="Calibri" w:eastAsia="Calibri" w:hAnsi="Calibri"/>
        <w:b w:val="1"/>
        <w:bCs w:val="1"/>
        <w:color w:val="000000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1432</wp:posOffset>
          </wp:positionH>
          <wp:positionV relativeFrom="paragraph">
            <wp:posOffset>123825</wp:posOffset>
          </wp:positionV>
          <wp:extent cx="6480000" cy="676216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480000" cy="676216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3">
    <w:pPr>
      <w:tabs>
        <w:tab w:val="center" w:leader="none" w:pos="0"/>
      </w:tabs>
      <w:ind w:left="1440" w:firstLine="0"/>
      <w:jc w:val="both"/>
      <w:rPr>
        <w:rFonts w:ascii="Calibri" w:cs="Calibri" w:eastAsia="Calibri" w:hAnsi="Calibri"/>
        <w:i w:val="1"/>
        <w:iCs w:val="1"/>
        <w:color w:val="ff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spacing w:line="276" w:lineRule="auto"/>
      <w:ind w:firstLine="0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Fonts w:ascii="Arial" w:cs="Arial" w:eastAsia="Arial" w:hAnsi="Arial"/>
        <w:sz w:val="22"/>
        <w:szCs w:val="22"/>
        <w:rtl w:val="0"/>
      </w:rPr>
      <w:t xml:space="preserve">                                                                                                                                                             </w:t>
    </w:r>
  </w:p>
  <w:p w:rsidR="00000000" w:rsidDel="00000000" w:rsidP="00000000" w:rsidRDefault="00000000" w:rsidRPr="00000000" w14:paraId="0000003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ind w:left="0" w:hanging="2"/>
      <w:jc w:val="right"/>
      <w:rPr>
        <w:rFonts w:ascii="Calibri" w:cs="Calibri" w:eastAsia="Calibri" w:hAnsi="Calibri"/>
        <w:b w:val="1"/>
        <w:bCs w:val="1"/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spacing w:line="276" w:lineRule="auto"/>
      <w:ind w:hanging="450"/>
      <w:jc w:val="both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ind w:left="0" w:hanging="2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20" w:hanging="360"/>
      </w:pPr>
      <w:rPr>
        <w:b w:val="1"/>
        <w:bCs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Calibri" w:cs="Calibri" w:eastAsia="Calibri" w:hAnsi="Calibri"/>
        <w:b w:val="1"/>
        <w:bCs w:val="1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gov.br/cultura/pt-br/acesso-a-informacao/legislacao-e-normativas/instrucao-normativa-minc-no-1-de-7-de-abril-de-2015-1" TargetMode="External"/><Relationship Id="rId8" Type="http://schemas.openxmlformats.org/officeDocument/2006/relationships/hyperlink" Target="https://www.gov.br/cultura/pt-br/acesso-a-informacao/legislacao-e-normativas/instrucao-normativa-minc-no-1-de-7-de-abril-de-2015-1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HHf7TQpzOtCkjfwKmXl5mnX/1g==">CgMxLjA4AHIhMVZ1cWxuTDZ0TG0zbGx6RmJPcEJ6bVA3RjZCNEpqREZB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