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GOVERNO DO ESTADO DO RIO GRANDE DO NORTE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SECRETARIA DE ESTADO DA CULTURA 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CHAMAMENTO PÚBLICO DE FLUXO ORDINÁRIO 03/2026 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REDE ESTADUAL DE PONTOS E PONTÕES DE CULTURA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2"/>
          <w:szCs w:val="22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DO ESTADO DO RIO GRANDE DO NORTE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Helvetica Neue" w:cs="Helvetica Neue" w:eastAsia="Helvetica Neue" w:hAnsi="Helvetica Neue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2"/>
          <w:szCs w:val="22"/>
          <w:rtl w:val="0"/>
        </w:rPr>
        <w:t xml:space="preserve"> FOMENTO A PROJETOS CONTINUADOS DE PONTÕES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11 - DECLARAÇÃO CONJUNTA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line="240" w:lineRule="auto"/>
        <w:ind w:left="0" w:hanging="2"/>
        <w:jc w:val="center"/>
        <w:rPr>
          <w:rFonts w:ascii="Calibri" w:cs="Calibri" w:eastAsia="Calibri" w:hAnsi="Calibri"/>
          <w:i w:val="1"/>
          <w:i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4"/>
          <w:szCs w:val="24"/>
          <w:rtl w:val="0"/>
        </w:rPr>
        <w:t xml:space="preserve">(Rubricar todas as páginas)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line="240" w:lineRule="auto"/>
        <w:ind w:left="0" w:hanging="2"/>
        <w:jc w:val="left"/>
        <w:rPr>
          <w:rFonts w:ascii="Calibri" w:cs="Calibri" w:eastAsia="Calibri" w:hAnsi="Calibri"/>
          <w:i w:val="1"/>
          <w:i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pessoa responsável pela candidatura)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residente e domiciliado(a) em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(endereço residencial do dirigente)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portador(a) da Carteira de Identidade n° 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(nº do RG)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CPF n° 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(nº do CPF)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responsável pela apresentação da inscrição da entidade cultural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entidade cultural)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CNPJ nº ___________________________, incrito no referido Edital de Seleção para ampliação e fortalecimento da Política Nacional de Cultura Viva,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DECLARO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de que as informações e documentos apresentados neste processo seletivo são de minha inteira responsabilidade, sendo a expressão da verdade;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Autorizar a Secult/RN e o Ministério da Cultura a publicar e divulgar, mediante reprodução, distribuição, comunicação ao público e quaisquer outras modalidades de utilização, sem quaisquer ônus, por tempo indeterminado, os conteúdos da inscrição, do Termo de Compromisso Cultural e do projeto cultural;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e de acordo que a publicação e divulgação das matérias poderão ser realizadas inclusive em universidades, escolas, seminários, congressos, outros eventos e na mídia em geral, no Brasil e no exterior, observadas as legislações vigentes de cada país;5cinco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Não me enquadrar em quaisquer das vedações dispostas no Edital de Seleção, principalmente quanto ao disposto em seu item 5 (“quem não pode participar do edital”);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Receber visita técnica e/ou participar de reunião, com a missão de acompanhar e monitorar a execução e os resultados Termo de Compromisso Cultural, caso a Secult/RN) e o Ministério da Cultura considerem apropriado;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Não existir plágio no projeto selecionado, assumindo integralmente a autoria e respondendo exclusivamente por eventuais acusações ou pleitos nesse sentido;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Possuir Capacidade Gerencial, Técnica e Operacional para o desenvolvimento e execução das atividades previstas no Plano de Trabalho, parte integrante do Termo de Compromisso Cultural, não ser mero intermediário na execução do projeto em epígrafe, e estar apto à execução do objeto na forma proposta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Não ter projetos vigentes ou em análise com o mesmo objeto e/ou despesas semelhantes às pleiteadas nesta proposta em qualquer esfera do governo;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Respeitar a legislação pertinente referente à Leis Ambientais Brasileiras, mais especificamente à relacionada aos possíveis impactos ambientais (Art. 1º, da Resolução Conama nº 001, de 23 de janeiro de 1986) para a execução do objeto da proposta e, ainda, realizar a coleta seletiva de todos os resíduos produzidos (Resolução Conama nº 275, de 25 de abril de 2001) e a limpeza d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espaço físico durante e após o período de realização das ações previstas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Realizar todas as intervenções e serviços que se fizerem necessários para promover a acessibilidade cultural e a inclusão de pessoas com mobilidade reduzida e pessoas com deficiência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durante as ações propostas, garantindo ainda exibições audiovisuais, se houver, que disponham de recursos de legendagem descritiva, audiodescrição e LIBRAS – Língua Brasileira de Sinais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Disponibilizar livre acesso à população beneficiada para todas as ações propostas 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projeto;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Sobre os bens remanescentes, que: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Os bens patrimoniais adquiridos deverão ser gravados com cláusula de inalienabilidade enquanto viger a parceria, sendo que, na hipótese de extinção da entidade cultural durante a vigência do presente instrumento, a propriedade de tais ben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 será transferida à Administração Pública.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Quando da extinção da parceria, os bens remanescentes permanecerão na propriedade da entidade cultural, na medida em que os bens serão úteis à continuidade da execução de ações de interesse social pela organização; e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Na hipótese de extinção da entidade cultural após a vigência do instrumento celebrado, será aplicada Cláusula do Estatuto Social.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2"/>
        </w:numPr>
        <w:tabs>
          <w:tab w:val="left" w:leader="none" w:pos="567"/>
          <w:tab w:val="left" w:leader="none" w:pos="1134"/>
        </w:tabs>
        <w:spacing w:after="120" w:befor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das regras de democratização dos recursos: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ind w:left="720" w:firstLine="0"/>
        <w:jc w:val="both"/>
        <w:rPr>
          <w:rFonts w:ascii="Calibri" w:cs="Calibri" w:eastAsia="Calibri" w:hAnsi="Calibri"/>
          <w:i w:val="1"/>
          <w:iCs w:val="1"/>
          <w:color w:val="555555"/>
        </w:rPr>
      </w:pPr>
      <w:hyperlink r:id="rId7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u w:val="single"/>
            <w:rtl w:val="0"/>
          </w:rPr>
          <w:t xml:space="preserve">Instrução Normativa MinC nº  1/2015, art. 21, </w:t>
        </w:r>
      </w:hyperlink>
      <w:hyperlink r:id="rId8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highlight w:val="white"/>
            <w:u w:val="single"/>
            <w:rtl w:val="0"/>
          </w:rPr>
          <w:t xml:space="preserve">§ 3º: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ind w:left="72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 - uma mesma entidade cultural não poderá ter dois ou mais TCC vigentes simultaneamente para execução de projetos da PNCV, mesmo que selecionada em editais diferentes ou de Entes Federados distintos,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salvo quando:</w:t>
      </w:r>
    </w:p>
    <w:p w:rsidR="00000000" w:rsidDel="00000000" w:rsidP="00000000" w:rsidRDefault="00000000" w:rsidRPr="00000000" w14:paraId="00000022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a) no ato de formalização do segundo TCC,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 entidade não tenha parcelas para receber e já tenha executado mais da metade do cronograma relacionado à última parcela do TCC ativo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; ou</w:t>
      </w:r>
    </w:p>
    <w:p w:rsidR="00000000" w:rsidDel="00000000" w:rsidP="00000000" w:rsidRDefault="00000000" w:rsidRPr="00000000" w14:paraId="00000023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b) quando uma mesma entidade celebre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um TCC para fomento a um projeto de Ponto de Cultura e um TCC para fomento a um projeto de Pontão de Cultura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;</w:t>
      </w:r>
    </w:p>
    <w:p w:rsidR="00000000" w:rsidDel="00000000" w:rsidP="00000000" w:rsidRDefault="00000000" w:rsidRPr="00000000" w14:paraId="00000024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ind w:left="72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II - uma mesma entidade não poderá celebrar TCC e receber prêmios no âmbito da PNCV em um período de 12 meses, mesmo que selecionada em editais diferentes ou de Entes Federados distintos,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salvo quando:</w:t>
      </w:r>
    </w:p>
    <w:p w:rsidR="00000000" w:rsidDel="00000000" w:rsidP="00000000" w:rsidRDefault="00000000" w:rsidRPr="00000000" w14:paraId="00000025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a) já tenha sido premiada em edital da PNCV nos últimos 12 meses e,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posteriormente, seja selecionada em edital de fomento a projeto continuado de Ponto ou Pontão de Cultura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, para celebração de TCC;</w:t>
      </w:r>
    </w:p>
    <w:p w:rsidR="00000000" w:rsidDel="00000000" w:rsidP="00000000" w:rsidRDefault="00000000" w:rsidRPr="00000000" w14:paraId="00000026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no ato de premiação, a entidade não tenha parcelas para receber e já tenha executado mais da metade do cronograma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relacionado à última parcela do TCC ativo; ou</w:t>
      </w:r>
    </w:p>
    <w:p w:rsidR="00000000" w:rsidDel="00000000" w:rsidP="00000000" w:rsidRDefault="00000000" w:rsidRPr="00000000" w14:paraId="00000027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ind w:left="7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c) em um mesmo edital de premiação da PNCV, após selecionadas todas as entidades concorrentes que não tenham firmado TCC nos últimos 12 meses,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ainda existam vagas disponíveis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134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120" w:before="240" w:line="240" w:lineRule="auto"/>
        <w:ind w:left="0" w:hanging="2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_______.</w:t>
      </w:r>
    </w:p>
    <w:p w:rsidR="00000000" w:rsidDel="00000000" w:rsidP="00000000" w:rsidRDefault="00000000" w:rsidRPr="00000000" w14:paraId="0000002A">
      <w:pPr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240" w:line="240" w:lineRule="auto"/>
        <w:ind w:left="0" w:hanging="2"/>
        <w:jc w:val="center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C">
      <w:pPr>
        <w:spacing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2D">
      <w:pPr>
        <w:spacing w:line="240" w:lineRule="auto"/>
        <w:ind w:left="0" w:hanging="2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2E">
      <w:pPr>
        <w:spacing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851" w:top="851" w:left="850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center" w:leader="none" w:pos="0"/>
      </w:tabs>
      <w:ind w:left="1440" w:firstLine="0"/>
      <w:jc w:val="both"/>
      <w:rPr>
        <w:rFonts w:ascii="Calibri" w:cs="Calibri" w:eastAsia="Calibri" w:hAnsi="Calibri"/>
        <w:i w:val="1"/>
        <w:iCs w:val="1"/>
        <w:color w:val="ff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1432</wp:posOffset>
          </wp:positionH>
          <wp:positionV relativeFrom="paragraph">
            <wp:posOffset>0</wp:posOffset>
          </wp:positionV>
          <wp:extent cx="6480000" cy="67621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80000" cy="67621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4">
    <w:pPr>
      <w:spacing w:line="276" w:lineRule="auto"/>
      <w:ind w:firstLine="0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jc w:val="left"/>
      <w:rPr>
        <w:rFonts w:ascii="Calibri" w:cs="Calibri" w:eastAsia="Calibri" w:hAnsi="Calibri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spacing w:line="276" w:lineRule="auto"/>
      <w:ind w:left="-566.9291338582677" w:firstLine="0"/>
      <w:jc w:val="both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v.br/cultura/pt-br/acesso-a-informacao/legislacao-e-normativas/instrucao-normativa-minc-no-1-de-7-de-abril-de-2015-1" TargetMode="External"/><Relationship Id="rId8" Type="http://schemas.openxmlformats.org/officeDocument/2006/relationships/hyperlink" Target="https://www.gov.br/cultura/pt-br/acesso-a-informacao/legislacao-e-normativas/instrucao-normativa-minc-no-1-de-7-de-abril-de-2015-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ylAmyQmw1v0lbIM/DS8eAaFr3g==">CgMxLjA4AHIhMTRTdzVpUFJrSXc5cW4yeGswSnB5RUtuU0w3VGpnamhW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