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02 – PLANO DE TRABALHO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À MÚSICA N.º 11/2026 </w:t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Resumo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da sua proposta.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Descrição da proposta: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Objetivos e metas: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os objetivos e as metas que o projeto pretende alcançar.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a relevância do projeto e como ele atende a necessidades específicas do contexto cultural?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6. Público-alvo: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Quantas pessoas serão alcançadas pelo projeto? Quais as características (idade, região etc.) do público beneficiado pelas ações do projeto?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7. 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8. Medidas de acessibilidade: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no seu projeto.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9. 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10. Locais previstos para a realização da ação cultural: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p78fHXRiAE2X6d0BQH7y4XQ1w==">CgMxLjAyCGguZ2pkZ3hzOAByITFPWFNVLTRINVVmWHduNWVtd0xZei1ZNlJQYzdXQmpZbQ==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