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D5A51" w14:textId="77777777" w:rsidR="005D12FB" w:rsidRDefault="00403F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VIII</w:t>
      </w:r>
    </w:p>
    <w:p w14:paraId="2C6E85AE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EXECUÇÃO CULTURAL</w:t>
      </w:r>
    </w:p>
    <w:p w14:paraId="270B3D27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5CBF2" w14:textId="703482B3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TERMO DE EXECUÇÃO CULTURAL Nº________/_________ TENDO POR OBJETO A CONCESSÃO DE APOIO FINANCEIRO A AÇÕES CULTURAIS CONTEMPLADAS </w:t>
      </w:r>
      <w:r w:rsidR="004D45A4">
        <w:rPr>
          <w:rFonts w:ascii="Times New Roman" w:eastAsia="Times New Roman" w:hAnsi="Times New Roman" w:cs="Times New Roman"/>
          <w:sz w:val="24"/>
          <w:szCs w:val="24"/>
        </w:rPr>
        <w:t>PELO EDITAL Nº 00</w:t>
      </w:r>
      <w:r w:rsidR="00E02B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D45A4">
        <w:rPr>
          <w:rFonts w:ascii="Times New Roman" w:eastAsia="Times New Roman" w:hAnsi="Times New Roman" w:cs="Times New Roman"/>
          <w:sz w:val="24"/>
          <w:szCs w:val="24"/>
        </w:rPr>
        <w:t>/2023 – LEI PAULO GUSTAVO-MACAÍBA, DOS DECRETOS FEDERAIS Nº 11.525/2023 E Nº 11.453/2023 E DO DECRETO MUNICIPAL Nº 2.133/2023.</w:t>
      </w:r>
    </w:p>
    <w:p w14:paraId="2BDDE76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2D77E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PARTES</w:t>
      </w:r>
    </w:p>
    <w:p w14:paraId="3711F9C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3A0E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A SECRETARIA MUNICIPAL DE CULTURA E TURISMO DE MACAÍBA neste ato representado pelo secretário municipal da pasta, SÉRGIO SILVA DO NASCIMENTO e o(a) AGENTE CULTURAL, ______________________________________________, portador(a) do RG nº________________expedida em_______________, CPF nº_________________, residente e domiciliado(a) à_______________________________________________________CEP_______________, telefone______________________________resolvem firmar o presente Termo de Execução Cultural, de acordo com as seguintes condições:</w:t>
      </w:r>
    </w:p>
    <w:p w14:paraId="756AF5DD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703C4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PROCEDIMENTO</w:t>
      </w:r>
    </w:p>
    <w:p w14:paraId="4208400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C635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culturais, celebrado com agente cultural selecionado nos termos </w:t>
      </w:r>
      <w:r w:rsidR="004D45A4">
        <w:rPr>
          <w:rFonts w:ascii="Times New Roman" w:eastAsia="Times New Roman" w:hAnsi="Times New Roman" w:cs="Times New Roman"/>
          <w:sz w:val="24"/>
          <w:szCs w:val="24"/>
        </w:rPr>
        <w:t>da LEI COMPLEMENTAR Nº 195/2022 (LEI PAULO GUSTAVO), DOS DECRETOS FEDERAIS Nº 11.525/2023 E 11.453/2023 E DO DECRETO MUNICIPAL Nº 2.133/2023.</w:t>
      </w:r>
    </w:p>
    <w:p w14:paraId="11CBFFE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5586C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OBJETO</w:t>
      </w:r>
    </w:p>
    <w:p w14:paraId="65BE0BB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4353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Este Termo de Execução Cultural tem por objeto a concessão de apoio financeiro ao projeto cultural________________________________, contemplado no conforme processo administrativo nº________________________.</w:t>
      </w:r>
    </w:p>
    <w:p w14:paraId="560A2844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795C3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RECURSOS FINANCEIROS</w:t>
      </w:r>
    </w:p>
    <w:p w14:paraId="43F94A9B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0044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Os recursos financeiros para a execução do presente termo totalizam o montante de R$______________________________________.</w:t>
      </w:r>
    </w:p>
    <w:p w14:paraId="74A22908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D0C0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Serão transferidos à conta do(a) AGENTE CULTURAL, especialmente aberta no banco___________________________, Agência___________________Conta Corrente nº___________________para recebimento e movimentação.</w:t>
      </w:r>
    </w:p>
    <w:p w14:paraId="6B93F0AA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48E77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APLICAÇÃO DOS RECURSOS</w:t>
      </w:r>
    </w:p>
    <w:p w14:paraId="695A2380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0CF2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9E7C2F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04A1C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OBRIGAÇÕES</w:t>
      </w:r>
    </w:p>
    <w:p w14:paraId="36980B1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E08A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São obrigações da SECRETARIA MUNICIPAL DE CULTURA E TURISMO DE MACAÍBA: </w:t>
      </w:r>
    </w:p>
    <w:p w14:paraId="23CF01A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0323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I-transferir os recursos ao(a)AGENTE CULTURAL;</w:t>
      </w:r>
    </w:p>
    <w:p w14:paraId="6C13A685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II-orientar o(a) AGENTE CULTURAL sobre o procedimento para a prestação de informações dos recursos concedidos;</w:t>
      </w:r>
    </w:p>
    <w:p w14:paraId="48E8392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III-analisar e emitir parecer sobre os relatórios e sobre a prestação de informações</w:t>
      </w:r>
    </w:p>
    <w:p w14:paraId="0FE531D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apresentados pelo(a) AGENTE CULTURAL;</w:t>
      </w:r>
    </w:p>
    <w:p w14:paraId="66B4A53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IV-zelar pelo fiel cumprimento deste termo de execução cultural;</w:t>
      </w:r>
    </w:p>
    <w:p w14:paraId="3B333913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V-adotar medidas saneadoras e corretivas quando houver inadimplemento;</w:t>
      </w:r>
    </w:p>
    <w:p w14:paraId="37215EA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VI-monitorar o cumprimento pelo(a) AGENTE CULTURAL das obrigações previstas na CLÁUSULA 6.2.</w:t>
      </w:r>
    </w:p>
    <w:p w14:paraId="1639E55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03A4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São obrigações do(a) AGENTE CULTURAL:</w:t>
      </w:r>
    </w:p>
    <w:p w14:paraId="5D68C9C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A72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I-executar a ação cultural aprovada;</w:t>
      </w:r>
    </w:p>
    <w:p w14:paraId="7846E83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II-aplicar os recursos concedidos pela Lei Paulo Gustavo na realização da ação cultural;</w:t>
      </w:r>
    </w:p>
    <w:p w14:paraId="5347B71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III-manter, obrigatória e exclusivamente, os recursos financeiros depositados na conta especialmente aberta para o Termo de Execução Cultural;</w:t>
      </w:r>
    </w:p>
    <w:p w14:paraId="0148964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IV-facilitar o monitoramento, o controle e supervisão do termo de execução cultural bem como o acesso ao local de realização da ação cultural;</w:t>
      </w:r>
    </w:p>
    <w:p w14:paraId="58BAB561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V-prestar informações à SECRETARIA MUNICIPAL DE CULTURA E TURISMO DE MACAÍBA por meio de Relatório de Execução do Objeto, apresentado no prazo má</w:t>
      </w:r>
      <w:r w:rsidR="004E752E">
        <w:rPr>
          <w:rFonts w:ascii="Times New Roman" w:eastAsia="Times New Roman" w:hAnsi="Times New Roman" w:cs="Times New Roman"/>
          <w:sz w:val="24"/>
          <w:szCs w:val="24"/>
        </w:rPr>
        <w:t>ximo de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E752E">
        <w:rPr>
          <w:rFonts w:ascii="Times New Roman" w:eastAsia="Times New Roman" w:hAnsi="Times New Roman" w:cs="Times New Roman"/>
          <w:sz w:val="24"/>
          <w:szCs w:val="24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2024 contados do término da vigência do Termo de Execução Cultural;</w:t>
      </w:r>
    </w:p>
    <w:p w14:paraId="0DCD26EE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VI-atender a qualquer solicitação regular feita pelo SECRETARIA MUNICIPAL DE CULTURA E TURISMO DE MACAÍBA a contar do recebimento da notificação;</w:t>
      </w:r>
    </w:p>
    <w:p w14:paraId="125B2B7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VII-divulgar nos meios de comunicação, a informação de que a ação cultural aprovada é apoiada com recursos da Lei Paulo Gustavo, incluindo as marcas da Prefeitura de Macaíba e do Governo Federal, de acordo com as orientações técnicas do manual de aplicação de marcas divulgado pelo Ministério da Cultura;</w:t>
      </w:r>
    </w:p>
    <w:p w14:paraId="4EA028A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VIII-não realizar despesa em data anterior ou posterior à vigência deste termo de execução cultural;</w:t>
      </w:r>
    </w:p>
    <w:p w14:paraId="7143C0F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IX-guardar a documentação referente à prestação de informações pelo prazo de 10 anos, contados do fim da vigência deste Termo de Execução Cultural;</w:t>
      </w:r>
    </w:p>
    <w:p w14:paraId="4F4EB61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X-não utilizar os recursos para finalidade diversa da estabelecida no projeto cultural;</w:t>
      </w:r>
    </w:p>
    <w:p w14:paraId="19ABB16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XI-executar a contrapartida conforme pactuado.</w:t>
      </w:r>
    </w:p>
    <w:p w14:paraId="6AC250C0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0D1C2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PRESTAÇÃO DE INFORMAÇÕES</w:t>
      </w:r>
    </w:p>
    <w:p w14:paraId="239BCA8F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6839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36E27E0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90A3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37DA952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8246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I-apresentação de relatório de execução do objeto pelo beneficiário no prazo estabelecido pelo ente federativo no regulamento ou no instrumento de seleção; e </w:t>
      </w:r>
    </w:p>
    <w:p w14:paraId="02BA32B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II-análise do relatório de execução do objeto por agente público designado.</w:t>
      </w:r>
    </w:p>
    <w:p w14:paraId="3C38EE3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6F231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7.2.1 O relatório de prestação de informações sobre o cumprimento do objeto deverá:</w:t>
      </w:r>
    </w:p>
    <w:p w14:paraId="5E56469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E4A2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I-comprovar que foram alcançados os resultados da ação cultural;</w:t>
      </w:r>
    </w:p>
    <w:p w14:paraId="20CF57FE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II-conter a descrição das ações desenvolvidas para o cumprimento do objeto;</w:t>
      </w:r>
    </w:p>
    <w:p w14:paraId="4D6F69F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III-ter anexados documentos de comprovação do cumprimento do objeto, tais como: declarações de realização dos eventos, com registro fotográfico ou audiovisual, matérias jornalísticas, releases, folders, catálogos, panfletos entre outros documentos.</w:t>
      </w:r>
    </w:p>
    <w:p w14:paraId="4641EA0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BBD3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625713C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1AC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I-encaminhar o processo à autoridade responsável pelo julgamento da prestação de informações, caso conclua que houve o cumprimento integral do objeto; ou</w:t>
      </w:r>
    </w:p>
    <w:p w14:paraId="6976E0B8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7E02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2D7F859F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600D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2CB67B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78E8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I-determinar o arquivamento, caso considere que houve o cumprimento integral do objeto</w:t>
      </w:r>
    </w:p>
    <w:p w14:paraId="4A02EAB1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 o cumprimento parcial justificado;</w:t>
      </w:r>
    </w:p>
    <w:p w14:paraId="6CF2747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II-solicitar a apresentação, pelo agente cultural, de relatório de execução financeira, caso considere que não foi possível aferir o cumprimento integral do objeto no relatório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execução do objeto ou que as justificativas apresentadas sobre o cumprimento parcial do objeto foram insuficientes; ou</w:t>
      </w:r>
    </w:p>
    <w:p w14:paraId="2C6C1111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8D7866D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CE7D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1467716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5989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I-quando não estiver comprovado o cumprimento do objeto, observados os procedimentos previstos no item 7.2; ou</w:t>
      </w:r>
    </w:p>
    <w:p w14:paraId="3D6C9AF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II-quando for recebida, pela administração pública, denúncia de irregularidade na execução da ação cultural, mediante juízo de admissibilidade que avaliará os elementos fáticos apresentados.</w:t>
      </w:r>
    </w:p>
    <w:p w14:paraId="0A82176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989B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3DB3FDA7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6CBE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2E994DC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8FA7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I-aprovação da prestação de informações, com ou sem ressalvas; ou</w:t>
      </w:r>
    </w:p>
    <w:p w14:paraId="6CBCC1A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II-reprovação da prestação de informações, parcial ou total.</w:t>
      </w:r>
    </w:p>
    <w:p w14:paraId="205D0BA4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4577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1EB3AC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9DA8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I-devolução parcial ou integral dos recursos ao erário;</w:t>
      </w:r>
    </w:p>
    <w:p w14:paraId="6E8038E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II-apresentação de plano de ações compensatórias; ou</w:t>
      </w:r>
    </w:p>
    <w:p w14:paraId="48144FB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III-devolução parcial dos recursos ao erário juntamente com a apresentação de plano de ações compensatórias.</w:t>
      </w:r>
    </w:p>
    <w:p w14:paraId="4E43BA5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0435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7D335E9A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1348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2D08FF2D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23CE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7.5.3 Nos casos em que houver exigência de devolução de recursos ao erário, o agente cultural poderá solicitar o parcelamento do débito, na forma e nas condições previstas na legislação.</w:t>
      </w:r>
    </w:p>
    <w:p w14:paraId="1B578F2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AF90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6AD1183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A4A5F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ALTERAÇÃO DO TERMO DE EXECUÇÃO CULTURAL</w:t>
      </w:r>
    </w:p>
    <w:p w14:paraId="2424034B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F139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35BE417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18CD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DE56A41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9F809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I-prorrogação de vigência realizada de ofício pela administração pública quando der causa a atraso na liberação de recursos; e</w:t>
      </w:r>
    </w:p>
    <w:p w14:paraId="261D427E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II-alteração do projeto sem modificação do valor global do instrumento e sem modificação substancial do objeto.</w:t>
      </w:r>
    </w:p>
    <w:p w14:paraId="4B8CB1B7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AA06E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34398BD4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62533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4CBDDF8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6361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59C69CBF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83DA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26E2099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671C5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TITULARIDADE DE BENS</w:t>
      </w:r>
    </w:p>
    <w:p w14:paraId="4E9767D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74B5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78923732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C7D4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33E562C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C9FDE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EXTINÇÃO DO TERMO DE EXECUÇÃO CULTURAL</w:t>
      </w:r>
    </w:p>
    <w:p w14:paraId="2D0DBEDF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045D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 O presente Termo de Execução Cultural poderá ser:</w:t>
      </w:r>
    </w:p>
    <w:p w14:paraId="1F63C78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8D5D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I-extinto por decurso de prazo;</w:t>
      </w:r>
    </w:p>
    <w:p w14:paraId="2E3E044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II-extinto, de comum acordo antes do prazo avençado, mediante Termo de Distrato;</w:t>
      </w:r>
    </w:p>
    <w:p w14:paraId="1C36C2F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III-denunciado, por decisão unilateral de qualquer dos partícipes, independentemente de</w:t>
      </w:r>
    </w:p>
    <w:p w14:paraId="7BE1D61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autorização judicial, mediante prévia notificação por escrito ao outro partícipe; ou</w:t>
      </w:r>
    </w:p>
    <w:p w14:paraId="21DF2D30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IV-rescindido, por decisão unilateral de qualquer dos partícipes, independentemente de</w:t>
      </w:r>
    </w:p>
    <w:p w14:paraId="09D5557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autorização judicial, mediante prévia notificação por escrito ao outro partícipe, nas seguintes</w:t>
      </w:r>
    </w:p>
    <w:p w14:paraId="583BA31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hipóteses:</w:t>
      </w:r>
    </w:p>
    <w:p w14:paraId="02EBCD4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EA0D7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descumprimento injustificado de cláusula deste instrumento;</w:t>
      </w:r>
    </w:p>
    <w:p w14:paraId="36DD2A9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irregularidade ou inexecução injustificada, ainda que parcial, do objeto, resultados ou metas pactuadas ;</w:t>
      </w:r>
    </w:p>
    <w:p w14:paraId="5DB84643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violação da legislação aplicável;</w:t>
      </w:r>
    </w:p>
    <w:p w14:paraId="016C5CE6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cometimento de falhas reiteradas na execução;</w:t>
      </w:r>
    </w:p>
    <w:p w14:paraId="35348DE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má administração de recursos públicos;</w:t>
      </w:r>
    </w:p>
    <w:p w14:paraId="3C342F5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39099EF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41257235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549B1F5D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F10E5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0308006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52A4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1233564A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2085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55878318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D091C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10.5 Outras situações relativas à extinção deste Termo não previstas na legislação aplicável ou neste instrumento poderão ser negociados entre as partes ou, se for o caso, no Termo de Distrato.</w:t>
      </w:r>
    </w:p>
    <w:p w14:paraId="5113456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A25CE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SANÇÕES</w:t>
      </w:r>
    </w:p>
    <w:p w14:paraId="7C69422C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C993A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D2F410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E863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 A decisão sobre a sanção deve ser precedida de abertura de prazo para apresentação de defesa pelo AGENTE CULTURAL.</w:t>
      </w:r>
    </w:p>
    <w:p w14:paraId="2BD0536F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DA688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768AAE1B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64801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MONITORAMENTO E CONTROLE DE RESULTADOS</w:t>
      </w:r>
    </w:p>
    <w:p w14:paraId="4045347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B8F5B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 As ações serão realizadas pela Comissão da Lei Paulo Gustavo em Macaíba.</w:t>
      </w:r>
    </w:p>
    <w:p w14:paraId="02B757C6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F05DE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VIGÊNCIA</w:t>
      </w:r>
    </w:p>
    <w:p w14:paraId="2B8105AC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350CF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 A vigência deste instrumento terá início na data de assinatura das partes, com duração de seis meses.</w:t>
      </w:r>
    </w:p>
    <w:p w14:paraId="52FFC6F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0497F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PUBLICAÇÃO</w:t>
      </w:r>
    </w:p>
    <w:p w14:paraId="09905239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F1A52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 O Extrato do Termo de Execução Cultural será publicado no Diário Oficial do Município de Macaíba.</w:t>
      </w:r>
    </w:p>
    <w:p w14:paraId="58916573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DC651" w14:textId="77777777" w:rsidR="005D12FB" w:rsidRDefault="002662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FORO</w:t>
      </w:r>
    </w:p>
    <w:p w14:paraId="28DDF90E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84994" w14:textId="77777777" w:rsidR="005D12FB" w:rsidRDefault="002662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 Fica eleito o Foro privativo da Comarca de Macaíba para dirimir quaisquer dúvidas relativas ao presente</w:t>
      </w:r>
    </w:p>
    <w:p w14:paraId="611B9525" w14:textId="77777777" w:rsidR="005D12FB" w:rsidRDefault="005D12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5993C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44891B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Execução Cultural.</w:t>
      </w:r>
    </w:p>
    <w:p w14:paraId="614CC9D1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E73E40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 w:rsidR="00491EFC">
        <w:rPr>
          <w:rFonts w:ascii="Times New Roman" w:eastAsia="Times New Roman" w:hAnsi="Times New Roman" w:cs="Times New Roman"/>
          <w:sz w:val="24"/>
          <w:szCs w:val="24"/>
        </w:rPr>
        <w:t>caíba, ____de_____________de 2024.</w:t>
      </w:r>
    </w:p>
    <w:p w14:paraId="174C0999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18FF15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68FEB3ED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Sérgio Silva do Nascimento</w:t>
      </w:r>
    </w:p>
    <w:p w14:paraId="0E496923" w14:textId="77777777" w:rsidR="005D12FB" w:rsidRDefault="002662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Secretário Municipal de Cultura e Turismo</w:t>
      </w:r>
    </w:p>
    <w:p w14:paraId="3153159E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712730" w14:textId="77777777" w:rsidR="005D12FB" w:rsidRDefault="002662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Agente Cultural:</w:t>
      </w:r>
    </w:p>
    <w:p w14:paraId="1EF93FA5" w14:textId="77777777" w:rsidR="005D12FB" w:rsidRDefault="005D12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0B4C0F" w14:textId="50E734BD" w:rsidR="005D12FB" w:rsidRDefault="0026624A" w:rsidP="00E02B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sectPr w:rsidR="005D1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0F6B" w14:textId="77777777" w:rsidR="003F3B44" w:rsidRDefault="003F3B44">
      <w:pPr>
        <w:spacing w:line="240" w:lineRule="auto"/>
      </w:pPr>
      <w:r>
        <w:separator/>
      </w:r>
    </w:p>
  </w:endnote>
  <w:endnote w:type="continuationSeparator" w:id="0">
    <w:p w14:paraId="5084D37C" w14:textId="77777777" w:rsidR="003F3B44" w:rsidRDefault="003F3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01CF" w14:textId="77777777" w:rsidR="00043832" w:rsidRDefault="000438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629F" w14:textId="77777777" w:rsidR="00043832" w:rsidRDefault="000438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CC7C" w14:textId="77777777" w:rsidR="00043832" w:rsidRDefault="00043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A11F" w14:textId="77777777" w:rsidR="003F3B44" w:rsidRDefault="003F3B44">
      <w:pPr>
        <w:spacing w:line="240" w:lineRule="auto"/>
      </w:pPr>
      <w:r>
        <w:separator/>
      </w:r>
    </w:p>
  </w:footnote>
  <w:footnote w:type="continuationSeparator" w:id="0">
    <w:p w14:paraId="0D9D263A" w14:textId="77777777" w:rsidR="003F3B44" w:rsidRDefault="003F3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16E3" w14:textId="77777777" w:rsidR="00043832" w:rsidRDefault="000438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2BC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3829"/>
    </w:tblGrid>
    <w:tr w:rsidR="00701F64" w:rsidRPr="00F36EE2" w14:paraId="460D292D" w14:textId="77777777" w:rsidTr="00F36EE2">
      <w:tc>
        <w:tcPr>
          <w:tcW w:w="4606" w:type="dxa"/>
          <w:vAlign w:val="center"/>
        </w:tcPr>
        <w:p w14:paraId="5C9CE42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4E2BA71" wp14:editId="69176D2C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09E8E105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42C40EF2" wp14:editId="767E2B35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F16B35" w14:textId="77777777" w:rsidR="00701F64" w:rsidRDefault="00701F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4B1C" w14:textId="77777777" w:rsidR="00043832" w:rsidRDefault="000438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49032776">
    <w:abstractNumId w:val="3"/>
  </w:num>
  <w:num w:numId="2" w16cid:durableId="598680627">
    <w:abstractNumId w:val="2"/>
  </w:num>
  <w:num w:numId="3" w16cid:durableId="1037580666">
    <w:abstractNumId w:val="1"/>
  </w:num>
  <w:num w:numId="4" w16cid:durableId="130542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B"/>
    <w:rsid w:val="00043832"/>
    <w:rsid w:val="00085C69"/>
    <w:rsid w:val="00096254"/>
    <w:rsid w:val="001F14D8"/>
    <w:rsid w:val="00241973"/>
    <w:rsid w:val="002426A0"/>
    <w:rsid w:val="0026624A"/>
    <w:rsid w:val="002700DE"/>
    <w:rsid w:val="002A62EB"/>
    <w:rsid w:val="002D1489"/>
    <w:rsid w:val="003F3B44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D42917"/>
    <w:rsid w:val="00D829F5"/>
    <w:rsid w:val="00DE4915"/>
    <w:rsid w:val="00E02BDE"/>
    <w:rsid w:val="00E85705"/>
    <w:rsid w:val="00EF2CB2"/>
    <w:rsid w:val="00F36EE2"/>
    <w:rsid w:val="00F64AD5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345C"/>
  <w15:docId w15:val="{064AEB7C-DF0E-C749-8133-01BFF290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2126</Words>
  <Characters>11482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Hyago Dantas</cp:lastModifiedBy>
  <cp:revision>2</cp:revision>
  <dcterms:created xsi:type="dcterms:W3CDTF">2024-02-29T23:47:00Z</dcterms:created>
  <dcterms:modified xsi:type="dcterms:W3CDTF">2024-02-29T23:47:00Z</dcterms:modified>
</cp:coreProperties>
</file>