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-38473</wp:posOffset>
            </wp:positionH>
            <wp:positionV relativeFrom="page">
              <wp:posOffset>-19048</wp:posOffset>
            </wp:positionV>
            <wp:extent cx="7567988" cy="1071286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988" cy="10712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294.80314960629914" w:right="302.5984251968515" w:hanging="283.4645669291337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94.80314960629914" w:right="302.5984251968515" w:hanging="283.4645669291337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right="2286.850393700787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amarelas, "Anexo 07 - "Modelo de Declaração Comprobatória de Pertencimento”. O canto superior direito é adornado por triângulos e semicírculos em vermelho, verde, amarelo e azul que, agrupados, lembram lâmpadas com pequenas estrelas nas mesmas cores.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07 – DECLARAÇÃO COMPROBATÓRIA DE PERTENCIMENTO ÉTNICO E DE POVOS ORIGINÁRIOS E COMUNIDADES TRADICIONAIS </w:t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3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3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 OU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i0Q6r42HEBKASm4lrw/3F9ZXw==">CgMxLjAyCGguZ2pkZ3hzOAByITEyeUJ5RS1QR1hpMEZ6LTNMT1MyUEhzbkhwUW5zZXhRaw==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