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6188" cy="1074766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6188" cy="107476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NEXO 03 – PROPOSTA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EDITAL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Qual é a sua proposta?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40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o nome? Qual a linguagem envolvida? Quem irá participar? Em qual local ela irá acontecer? Conte mais detalhes que ajudem a compreender o que você pretende realizar.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Qual a importância cultural da proposta?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Como a proposta fortalece a manifestação cultural em que está inserida? E qual sua importância para a cultura potiguar?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Quem será beneficiado pela proposta? 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o público será beneficiado com a proposta? Quantas pessoas a proposta pretende alcançar?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Quando a proposta será realizada?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Quais as etapas e prazos para que a proposta seja realizada?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Como a proposta irá incluir pessoas com deficiência?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Quais medidas de acessibilidade você pretende realizar para a inclusão e participação de pessoas com deficiência no seu projeto?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Como o valor do apoio será utilizado para a realização da proposta?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 que precisa ser comprado? Quais profissionais precisam ser contratados? Conte mais detalhes sobre as necessidades financeiras que a proposta possui.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Observação: A descrição dos itens que podem ser financiados com o valor do apoio, está disponível no item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7.3.3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do edital.</w:t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do proponente</w:t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6pxN8eoWU32TCa+HZi41qwUKVw==">CgMxLjAyCGguZ2pkZ3hzOAByITFDUjgzRlN1Si1JbjAzSmhqNDZMMXdYZ1pwQlZweS1zQw==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