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12978</wp:posOffset>
            </wp:positionH>
            <wp:positionV relativeFrom="page">
              <wp:posOffset>-8514</wp:posOffset>
            </wp:positionV>
            <wp:extent cx="7560299" cy="1069688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299" cy="106968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05 – AUTODECLARAÇÃO PARA POLÍTICAS AFIRMATIVAS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COMUNIDADE DE PESCA ARTESANAL;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EM TERRITÓRIO OU ÁREA DE BAIXO IDH (ANEXO 07);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MINHA PROPOSTA DE AQUISIÇÃO PREVÊ MEDIDAS DE ACESSIBILIDADE DE ACORDO COM O ITEM 7.8 DO EDITAL.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bXT679nSATxxOVPSi2r9pfCTg==">CgMxLjAyCGguZ2pkZ3hzOAByITE5bnhYUHBZU0hpWVNTUXFDVlp4RTJCWHAwSEZUaEVqYQ==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